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4324B3"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393BC2" w:rsidRDefault="00393BC2" w:rsidP="00323003">
      <w:pPr>
        <w:widowControl w:val="0"/>
        <w:tabs>
          <w:tab w:val="center" w:pos="5819"/>
        </w:tabs>
        <w:spacing w:line="240" w:lineRule="exact"/>
        <w:jc w:val="center"/>
        <w:rPr>
          <w:rFonts w:ascii="Times New Roman" w:hAnsi="Times New Roman" w:cs="Times New Roman"/>
          <w:b/>
          <w:bCs/>
          <w:color w:val="000000"/>
          <w:sz w:val="24"/>
          <w:szCs w:val="24"/>
        </w:rPr>
      </w:pPr>
    </w:p>
    <w:p w:rsidR="00393BC2" w:rsidRDefault="00393BC2"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3401F7" w:rsidRDefault="003401F7" w:rsidP="00323003">
      <w:pPr>
        <w:widowControl w:val="0"/>
        <w:jc w:val="center"/>
        <w:rPr>
          <w:rFonts w:ascii="Times New Roman" w:hAnsi="Times New Roman" w:cs="Times New Roman"/>
          <w:b/>
          <w:bCs/>
          <w:sz w:val="24"/>
          <w:szCs w:val="24"/>
        </w:rPr>
      </w:pPr>
    </w:p>
    <w:p w:rsidR="003401F7" w:rsidRDefault="003401F7" w:rsidP="00323003">
      <w:pPr>
        <w:widowControl w:val="0"/>
        <w:jc w:val="center"/>
        <w:rPr>
          <w:rFonts w:ascii="Times New Roman" w:hAnsi="Times New Roman" w:cs="Times New Roman"/>
          <w:b/>
          <w:bCs/>
          <w:sz w:val="24"/>
          <w:szCs w:val="24"/>
        </w:rPr>
      </w:pPr>
    </w:p>
    <w:p w:rsidR="00323003" w:rsidRPr="009C039C" w:rsidRDefault="001271A2" w:rsidP="00323003">
      <w:pPr>
        <w:widowControl w:val="0"/>
        <w:jc w:val="center"/>
        <w:rPr>
          <w:rFonts w:ascii="Times New Roman" w:hAnsi="Times New Roman" w:cs="Times New Roman"/>
          <w:sz w:val="24"/>
          <w:szCs w:val="24"/>
        </w:rPr>
      </w:pPr>
      <w:r>
        <w:rPr>
          <w:rFonts w:ascii="Times New Roman" w:hAnsi="Times New Roman" w:cs="Times New Roman"/>
          <w:b/>
          <w:bCs/>
          <w:sz w:val="24"/>
          <w:szCs w:val="24"/>
        </w:rPr>
        <w:t>PRC-023</w:t>
      </w:r>
      <w:r w:rsidR="00744AC2">
        <w:rPr>
          <w:rFonts w:ascii="Times New Roman" w:hAnsi="Times New Roman" w:cs="Times New Roman"/>
          <w:b/>
          <w:bCs/>
          <w:sz w:val="24"/>
          <w:szCs w:val="24"/>
        </w:rPr>
        <w:t>-1</w:t>
      </w:r>
      <w:r w:rsidR="006E1CC0" w:rsidRPr="009C039C">
        <w:rPr>
          <w:rFonts w:ascii="Times New Roman" w:hAnsi="Times New Roman" w:cs="Times New Roman"/>
          <w:b/>
          <w:bCs/>
          <w:sz w:val="24"/>
          <w:szCs w:val="24"/>
        </w:rPr>
        <w:t xml:space="preserve"> </w:t>
      </w:r>
      <w:r w:rsidR="009C039C" w:rsidRPr="009C039C">
        <w:rPr>
          <w:rFonts w:ascii="Times New Roman" w:hAnsi="Times New Roman" w:cs="Times New Roman"/>
          <w:b/>
          <w:bCs/>
          <w:sz w:val="24"/>
          <w:szCs w:val="24"/>
        </w:rPr>
        <w:t>—</w:t>
      </w:r>
      <w:r w:rsidR="00323003" w:rsidRPr="009C039C">
        <w:rPr>
          <w:rFonts w:ascii="Times New Roman" w:hAnsi="Times New Roman" w:cs="Times New Roman"/>
          <w:b/>
          <w:bCs/>
          <w:sz w:val="24"/>
          <w:szCs w:val="24"/>
        </w:rPr>
        <w:t xml:space="preserve"> </w:t>
      </w:r>
      <w:r>
        <w:rPr>
          <w:rFonts w:ascii="Times New Roman" w:hAnsi="Times New Roman" w:cs="Times New Roman"/>
          <w:b/>
          <w:bCs/>
          <w:sz w:val="24"/>
          <w:szCs w:val="24"/>
        </w:rPr>
        <w:t>Transmission Relay Loadability</w:t>
      </w:r>
    </w:p>
    <w:p w:rsidR="00323003" w:rsidRPr="009C039C" w:rsidRDefault="00323003" w:rsidP="00323003">
      <w:pPr>
        <w:widowControl w:val="0"/>
        <w:jc w:val="center"/>
        <w:rPr>
          <w:rFonts w:ascii="Times New Roman" w:hAnsi="Times New Roman" w:cs="Times New Roman"/>
          <w:sz w:val="24"/>
          <w:szCs w:val="24"/>
        </w:rPr>
      </w:pPr>
    </w:p>
    <w:p w:rsidR="003401F7"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401F7" w:rsidRDefault="003401F7" w:rsidP="00323003">
      <w:pPr>
        <w:widowControl w:val="0"/>
        <w:tabs>
          <w:tab w:val="left" w:pos="480"/>
        </w:tabs>
        <w:spacing w:line="331" w:lineRule="exact"/>
        <w:rPr>
          <w:rFonts w:ascii="Times New Roman" w:hAnsi="Times New Roman" w:cs="Times New Roman"/>
          <w:sz w:val="24"/>
          <w:szCs w:val="24"/>
        </w:rPr>
      </w:pP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401F7" w:rsidRDefault="003401F7"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3401F7" w:rsidRDefault="003401F7" w:rsidP="001271A2">
      <w:pPr>
        <w:pStyle w:val="Default"/>
      </w:pPr>
    </w:p>
    <w:p w:rsidR="001271A2" w:rsidRPr="003401F7" w:rsidRDefault="00323003" w:rsidP="001271A2">
      <w:pPr>
        <w:pStyle w:val="Default"/>
        <w:rPr>
          <w:b/>
        </w:rPr>
      </w:pPr>
      <w:r w:rsidRPr="009C039C">
        <w:tab/>
      </w:r>
      <w:r w:rsidRPr="009C039C">
        <w:rPr>
          <w:b/>
          <w:bCs/>
          <w:color w:val="264D74"/>
        </w:rPr>
        <w:t>Applicable Function(s):</w:t>
      </w:r>
      <w:r w:rsidRPr="009C039C">
        <w:rPr>
          <w:b/>
          <w:bCs/>
          <w:color w:val="264D74"/>
        </w:rPr>
        <w:tab/>
      </w:r>
      <w:r w:rsidR="0032518B">
        <w:rPr>
          <w:b/>
          <w:bCs/>
          <w:color w:val="264D74"/>
        </w:rPr>
        <w:t xml:space="preserve"> </w:t>
      </w:r>
      <w:r w:rsidR="0032518B" w:rsidRPr="003401F7">
        <w:rPr>
          <w:b/>
          <w:iCs/>
        </w:rPr>
        <w:t>TO, GO, DP, P</w:t>
      </w:r>
      <w:r w:rsidR="00450B5F" w:rsidRPr="003401F7">
        <w:rPr>
          <w:b/>
          <w:iCs/>
        </w:rPr>
        <w:t>C (Planning Coordinator)</w:t>
      </w:r>
    </w:p>
    <w:p w:rsidR="003401F7" w:rsidRDefault="003401F7" w:rsidP="003401F7">
      <w:pPr>
        <w:pStyle w:val="Default"/>
      </w:pPr>
    </w:p>
    <w:p w:rsidR="00A74C27" w:rsidRDefault="00A74C27" w:rsidP="003401F7">
      <w:pPr>
        <w:pStyle w:val="Default"/>
        <w:rPr>
          <w:b/>
          <w:bCs/>
          <w:color w:val="264D74"/>
        </w:rPr>
      </w:pPr>
      <w:r>
        <w:rPr>
          <w:b/>
          <w:color w:val="17365D"/>
        </w:rPr>
        <w:t>Auditors:</w:t>
      </w:r>
      <w:r>
        <w:rPr>
          <w:b/>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13"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484EF2" w:rsidRDefault="00AD5422" w:rsidP="00484EF2">
      <w:pPr>
        <w:pStyle w:val="Heading1"/>
      </w:pPr>
      <w:r w:rsidRPr="00484EF2">
        <w:lastRenderedPageBreak/>
        <w:t>Subject Matter Experts</w:t>
      </w:r>
    </w:p>
    <w:p w:rsidR="003401F7" w:rsidRDefault="003401F7"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C23A94" w:rsidRDefault="00534C49" w:rsidP="004416B7">
      <w:pPr>
        <w:pStyle w:val="Heading1"/>
      </w:pPr>
      <w:r>
        <w:rPr>
          <w:color w:val="244061"/>
        </w:rP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684BB8" w:rsidRPr="001F467C" w:rsidRDefault="00684BB8" w:rsidP="00684BB8">
      <w:pPr>
        <w:widowControl w:val="0"/>
        <w:shd w:val="clear" w:color="auto" w:fill="D3DCE9"/>
        <w:spacing w:line="120" w:lineRule="exact"/>
        <w:jc w:val="center"/>
        <w:rPr>
          <w:rFonts w:ascii="Times New Roman" w:hAnsi="Times New Roman" w:cs="Times New Roman"/>
          <w:sz w:val="24"/>
          <w:szCs w:val="24"/>
        </w:rPr>
      </w:pPr>
    </w:p>
    <w:p w:rsidR="00684BB8" w:rsidRPr="001F467C" w:rsidRDefault="00684BB8" w:rsidP="00684BB8">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Pr>
          <w:rFonts w:ascii="Times New Roman" w:hAnsi="Times New Roman" w:cs="Times New Roman"/>
          <w:b/>
          <w:bCs/>
          <w:color w:val="003366"/>
          <w:sz w:val="24"/>
          <w:szCs w:val="24"/>
        </w:rPr>
        <w:t>PRC-023-</w:t>
      </w:r>
      <w:r w:rsidRPr="001D00CF">
        <w:rPr>
          <w:rFonts w:ascii="Times New Roman" w:hAnsi="Times New Roman" w:cs="Times New Roman"/>
          <w:b/>
          <w:bCs/>
          <w:color w:val="003366"/>
          <w:sz w:val="24"/>
          <w:szCs w:val="24"/>
        </w:rPr>
        <w:t xml:space="preserve">1 </w:t>
      </w:r>
      <w:r>
        <w:rPr>
          <w:rFonts w:ascii="Times New Roman" w:hAnsi="Times New Roman" w:cs="Times New Roman"/>
          <w:b/>
          <w:bCs/>
          <w:color w:val="003366"/>
          <w:sz w:val="24"/>
          <w:szCs w:val="24"/>
        </w:rPr>
        <w:t>–</w:t>
      </w:r>
      <w:r w:rsidRPr="001D00CF">
        <w:rPr>
          <w:rFonts w:ascii="Times New Roman" w:hAnsi="Times New Roman" w:cs="Times New Roman"/>
          <w:b/>
          <w:bCs/>
          <w:color w:val="003366"/>
          <w:sz w:val="24"/>
          <w:szCs w:val="24"/>
        </w:rPr>
        <w:t xml:space="preserve"> </w:t>
      </w:r>
      <w:r>
        <w:rPr>
          <w:rFonts w:ascii="Times New Roman" w:hAnsi="Times New Roman" w:cs="Times New Roman"/>
          <w:b/>
          <w:bCs/>
          <w:color w:val="003366"/>
          <w:sz w:val="24"/>
          <w:szCs w:val="24"/>
        </w:rPr>
        <w:t>Transmission Relay Loadability</w:t>
      </w:r>
    </w:p>
    <w:p w:rsidR="00684BB8" w:rsidRPr="001F467C" w:rsidRDefault="00684BB8" w:rsidP="00684BB8">
      <w:pPr>
        <w:widowControl w:val="0"/>
        <w:shd w:val="clear" w:color="auto" w:fill="D3DCE9"/>
        <w:spacing w:line="135" w:lineRule="exact"/>
        <w:jc w:val="center"/>
        <w:rPr>
          <w:rFonts w:ascii="Times New Roman" w:hAnsi="Times New Roman" w:cs="Times New Roman"/>
          <w:sz w:val="24"/>
          <w:szCs w:val="24"/>
        </w:rPr>
      </w:pPr>
    </w:p>
    <w:p w:rsidR="00684BB8" w:rsidRDefault="00684BB8" w:rsidP="00A86374">
      <w:pPr>
        <w:widowControl w:val="0"/>
        <w:tabs>
          <w:tab w:val="left" w:pos="120"/>
        </w:tabs>
        <w:spacing w:line="331" w:lineRule="exact"/>
        <w:rPr>
          <w:rFonts w:ascii="Times New Roman" w:hAnsi="Times New Roman" w:cs="Times New Roman"/>
          <w:b/>
          <w:bCs/>
          <w:color w:val="264D74"/>
          <w:sz w:val="24"/>
          <w:szCs w:val="24"/>
        </w:rPr>
      </w:pPr>
    </w:p>
    <w:p w:rsidR="003401F7" w:rsidRDefault="00E8453A" w:rsidP="001271A2">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3401F7" w:rsidRDefault="003401F7" w:rsidP="001271A2">
      <w:pPr>
        <w:rPr>
          <w:rFonts w:ascii="Times New Roman" w:hAnsi="Times New Roman" w:cs="Times New Roman"/>
          <w:b/>
          <w:bCs/>
          <w:color w:val="264D74"/>
          <w:sz w:val="24"/>
          <w:szCs w:val="24"/>
        </w:rPr>
      </w:pPr>
    </w:p>
    <w:p w:rsidR="00E8453A" w:rsidRPr="009C039C" w:rsidRDefault="001271A2" w:rsidP="001271A2">
      <w:pPr>
        <w:rPr>
          <w:rFonts w:ascii="Times New Roman" w:hAnsi="Times New Roman" w:cs="Times New Roman"/>
          <w:b/>
          <w:bCs/>
          <w:color w:val="264D74"/>
          <w:sz w:val="24"/>
          <w:szCs w:val="24"/>
        </w:rPr>
      </w:pPr>
      <w:r>
        <w:rPr>
          <w:rFonts w:ascii="Times New Roman" w:hAnsi="Times New Roman" w:cs="Times New Roman"/>
          <w:sz w:val="24"/>
          <w:szCs w:val="24"/>
        </w:rPr>
        <w:t>Protective Relay settings shall not limit transmission Loadability, not interfere with system operators’ ability to take remedial action to protect system reliability and; be set to reliably detect all fault conditions and protect the electrical network from these faults.</w:t>
      </w:r>
    </w:p>
    <w:p w:rsidR="00E8453A" w:rsidRPr="009C039C" w:rsidRDefault="00E8453A">
      <w:pPr>
        <w:widowControl w:val="0"/>
        <w:spacing w:line="120" w:lineRule="exact"/>
        <w:rPr>
          <w:rFonts w:ascii="Times New Roman" w:hAnsi="Times New Roman" w:cs="Times New Roman"/>
          <w:sz w:val="24"/>
          <w:szCs w:val="24"/>
        </w:rPr>
      </w:pPr>
    </w:p>
    <w:p w:rsidR="00756289" w:rsidRPr="009C039C" w:rsidRDefault="00E8453A">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sz w:val="24"/>
          <w:szCs w:val="24"/>
        </w:rPr>
        <w:tab/>
      </w:r>
    </w:p>
    <w:p w:rsidR="007C44D6" w:rsidRPr="009C039C" w:rsidRDefault="00E8453A" w:rsidP="007C44D6">
      <w:pPr>
        <w:widowControl w:val="0"/>
        <w:tabs>
          <w:tab w:val="left" w:pos="840"/>
        </w:tabs>
        <w:spacing w:line="29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r w:rsidR="00450B5F">
        <w:rPr>
          <w:rFonts w:ascii="Times New Roman" w:hAnsi="Times New Roman" w:cs="Times New Roman"/>
          <w:b/>
          <w:bCs/>
          <w:color w:val="000000"/>
          <w:sz w:val="24"/>
          <w:szCs w:val="24"/>
        </w:rPr>
        <w:t>(</w:t>
      </w:r>
      <w:r w:rsidR="003401F7">
        <w:rPr>
          <w:rFonts w:ascii="Times New Roman" w:hAnsi="Times New Roman" w:cs="Times New Roman"/>
          <w:b/>
          <w:bCs/>
          <w:color w:val="000000"/>
          <w:sz w:val="24"/>
          <w:szCs w:val="24"/>
        </w:rPr>
        <w:t>Reference Reliability Standard for Conditions</w:t>
      </w:r>
      <w:r w:rsidR="00450B5F">
        <w:rPr>
          <w:rFonts w:ascii="Times New Roman" w:hAnsi="Times New Roman" w:cs="Times New Roman"/>
          <w:b/>
          <w:bCs/>
          <w:color w:val="000000"/>
          <w:sz w:val="24"/>
          <w:szCs w:val="24"/>
        </w:rPr>
        <w:t>)</w:t>
      </w:r>
    </w:p>
    <w:p w:rsidR="00861282" w:rsidRDefault="007C44D6" w:rsidP="003401F7">
      <w:pPr>
        <w:widowControl w:val="0"/>
        <w:tabs>
          <w:tab w:val="left" w:pos="900"/>
        </w:tabs>
        <w:ind w:left="990"/>
        <w:rPr>
          <w:rFonts w:ascii="Times New Roman" w:hAnsi="Times New Roman" w:cs="Times New Roman"/>
          <w:color w:val="000000"/>
          <w:sz w:val="24"/>
          <w:szCs w:val="24"/>
        </w:rPr>
      </w:pPr>
      <w:r w:rsidRPr="009C039C">
        <w:rPr>
          <w:rFonts w:ascii="Times New Roman" w:hAnsi="Times New Roman" w:cs="Times New Roman"/>
          <w:color w:val="000000"/>
          <w:sz w:val="24"/>
          <w:szCs w:val="24"/>
        </w:rPr>
        <w:tab/>
      </w:r>
      <w:r w:rsidR="003401F7">
        <w:rPr>
          <w:rFonts w:ascii="Times New Roman" w:hAnsi="Times New Roman" w:cs="Times New Roman"/>
          <w:color w:val="000000"/>
          <w:sz w:val="24"/>
          <w:szCs w:val="24"/>
        </w:rPr>
        <w:t>Transmission Owners</w:t>
      </w:r>
    </w:p>
    <w:p w:rsidR="003401F7" w:rsidRDefault="003401F7" w:rsidP="003401F7">
      <w:pPr>
        <w:widowControl w:val="0"/>
        <w:tabs>
          <w:tab w:val="left" w:pos="900"/>
        </w:tabs>
        <w:ind w:left="990"/>
        <w:rPr>
          <w:rFonts w:ascii="Times New Roman" w:hAnsi="Times New Roman" w:cs="Times New Roman"/>
          <w:color w:val="000000"/>
          <w:sz w:val="24"/>
          <w:szCs w:val="24"/>
        </w:rPr>
      </w:pPr>
      <w:r>
        <w:rPr>
          <w:rFonts w:ascii="Times New Roman" w:hAnsi="Times New Roman" w:cs="Times New Roman"/>
          <w:color w:val="000000"/>
          <w:sz w:val="24"/>
          <w:szCs w:val="24"/>
        </w:rPr>
        <w:t>Generator Owners</w:t>
      </w:r>
    </w:p>
    <w:p w:rsidR="003401F7" w:rsidRDefault="003401F7" w:rsidP="003401F7">
      <w:pPr>
        <w:widowControl w:val="0"/>
        <w:tabs>
          <w:tab w:val="left" w:pos="900"/>
        </w:tabs>
        <w:ind w:left="990"/>
        <w:rPr>
          <w:rFonts w:ascii="Times New Roman" w:hAnsi="Times New Roman" w:cs="Times New Roman"/>
          <w:color w:val="000000"/>
          <w:sz w:val="24"/>
          <w:szCs w:val="24"/>
        </w:rPr>
      </w:pPr>
      <w:r>
        <w:rPr>
          <w:rFonts w:ascii="Times New Roman" w:hAnsi="Times New Roman" w:cs="Times New Roman"/>
          <w:color w:val="000000"/>
          <w:sz w:val="24"/>
          <w:szCs w:val="24"/>
        </w:rPr>
        <w:t>Distribution Providers</w:t>
      </w:r>
    </w:p>
    <w:p w:rsidR="003401F7" w:rsidRPr="009C039C" w:rsidRDefault="003401F7" w:rsidP="003401F7">
      <w:pPr>
        <w:widowControl w:val="0"/>
        <w:tabs>
          <w:tab w:val="left" w:pos="900"/>
        </w:tabs>
        <w:ind w:left="990"/>
        <w:rPr>
          <w:rFonts w:ascii="Times New Roman" w:hAnsi="Times New Roman" w:cs="Times New Roman"/>
          <w:color w:val="000000"/>
          <w:sz w:val="24"/>
          <w:szCs w:val="24"/>
        </w:rPr>
      </w:pPr>
      <w:r>
        <w:rPr>
          <w:rFonts w:ascii="Times New Roman" w:hAnsi="Times New Roman" w:cs="Times New Roman"/>
          <w:color w:val="000000"/>
          <w:sz w:val="24"/>
          <w:szCs w:val="24"/>
        </w:rPr>
        <w:t>Planning Coordinators</w:t>
      </w:r>
    </w:p>
    <w:p w:rsidR="00E8453A" w:rsidRPr="009C039C" w:rsidRDefault="00E8453A">
      <w:pPr>
        <w:widowControl w:val="0"/>
        <w:spacing w:line="254" w:lineRule="exact"/>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450B5F">
        <w:rPr>
          <w:rFonts w:ascii="Times New Roman" w:hAnsi="Times New Roman" w:cs="Times New Roman"/>
          <w:b/>
          <w:bCs/>
          <w:color w:val="000000"/>
          <w:sz w:val="24"/>
          <w:szCs w:val="24"/>
        </w:rPr>
        <w:t>2/12/2008</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450B5F">
        <w:rPr>
          <w:rFonts w:ascii="Times New Roman" w:hAnsi="Times New Roman" w:cs="Times New Roman"/>
          <w:b/>
          <w:bCs/>
          <w:color w:val="000000"/>
          <w:sz w:val="24"/>
          <w:szCs w:val="24"/>
        </w:rPr>
        <w:t>3/18/2010</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450B5F">
        <w:rPr>
          <w:rFonts w:ascii="Times New Roman" w:hAnsi="Times New Roman" w:cs="Times New Roman"/>
          <w:b/>
          <w:bCs/>
          <w:color w:val="000000"/>
          <w:sz w:val="24"/>
          <w:szCs w:val="24"/>
        </w:rPr>
        <w:t>7/1/2010</w:t>
      </w:r>
    </w:p>
    <w:p w:rsidR="003401F7" w:rsidRDefault="003401F7">
      <w:pPr>
        <w:widowControl w:val="0"/>
        <w:spacing w:line="334" w:lineRule="exact"/>
        <w:rPr>
          <w:rFonts w:ascii="Times New Roman" w:hAnsi="Times New Roman" w:cs="Times New Roman"/>
          <w:b/>
          <w:bCs/>
          <w:color w:val="264D74"/>
          <w:sz w:val="24"/>
          <w:szCs w:val="24"/>
        </w:rPr>
      </w:pPr>
    </w:p>
    <w:p w:rsidR="003401F7" w:rsidRDefault="003401F7">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1271A2" w:rsidRPr="004416B7" w:rsidRDefault="001271A2" w:rsidP="00F55AC9">
      <w:pPr>
        <w:pStyle w:val="Default"/>
        <w:tabs>
          <w:tab w:val="left" w:pos="180"/>
        </w:tabs>
        <w:spacing w:after="47"/>
        <w:ind w:left="360" w:hanging="360"/>
        <w:rPr>
          <w:i/>
          <w:iCs/>
        </w:rPr>
      </w:pPr>
      <w:r w:rsidRPr="004416B7">
        <w:rPr>
          <w:b/>
          <w:bCs/>
        </w:rPr>
        <w:t xml:space="preserve">R1. </w:t>
      </w:r>
      <w:r w:rsidRPr="004416B7">
        <w:t>Each Transmission Owner, Generator Owner, and Distribution Provider shall use any one of the following criteria (R1.1 through R1.13) for any specific circuit terminal to prevent its phase protective relay settings from limiting transmission system loadability while maintaining reliable protection of the Bulk Electric System for all fault conditions. Each Transmission Owner, Generator Owner, and Distribution Provider shall evaluate relay loadability at 0.85 per unit voltage and a power factor angle of 30 degrees: [Violation Risk Factor: High] [Mitigation Time Horizon: Long Term Planning]</w:t>
      </w:r>
      <w:r w:rsidRPr="004416B7">
        <w:rPr>
          <w:i/>
          <w:iCs/>
        </w:rPr>
        <w:t xml:space="preserve">. </w:t>
      </w:r>
      <w:r w:rsidR="00F55AC9" w:rsidRPr="004416B7">
        <w:rPr>
          <w:i/>
          <w:iCs/>
        </w:rPr>
        <w:br/>
      </w:r>
    </w:p>
    <w:p w:rsidR="001271A2" w:rsidRPr="004416B7" w:rsidRDefault="006E553A" w:rsidP="006E553A">
      <w:pPr>
        <w:pStyle w:val="Default"/>
        <w:tabs>
          <w:tab w:val="left" w:pos="540"/>
        </w:tabs>
        <w:spacing w:after="47"/>
        <w:ind w:left="1080" w:hanging="1079"/>
      </w:pPr>
      <w:r w:rsidRPr="004416B7">
        <w:rPr>
          <w:i/>
          <w:iCs/>
        </w:rPr>
        <w:t xml:space="preserve">         </w:t>
      </w:r>
      <w:r w:rsidR="001271A2" w:rsidRPr="004416B7">
        <w:rPr>
          <w:b/>
          <w:bCs/>
        </w:rPr>
        <w:t xml:space="preserve">R1.1. </w:t>
      </w:r>
      <w:r w:rsidR="001271A2" w:rsidRPr="004416B7">
        <w:t xml:space="preserve">Set transmission line relays so they do not operate at or below 150% of the highest seasonal Facility Rating of a circuit, for the available defined loading duration nearest 4 hours (expressed in amperes). </w:t>
      </w:r>
      <w:r w:rsidR="00F55AC9" w:rsidRPr="004416B7">
        <w:br/>
      </w:r>
    </w:p>
    <w:p w:rsidR="002D694C" w:rsidRPr="004416B7" w:rsidRDefault="006E553A" w:rsidP="006E553A">
      <w:pPr>
        <w:pStyle w:val="Default"/>
        <w:spacing w:after="47"/>
        <w:ind w:left="1080" w:hanging="1080"/>
      </w:pPr>
      <w:r w:rsidRPr="004416B7">
        <w:rPr>
          <w:b/>
          <w:bCs/>
        </w:rPr>
        <w:t xml:space="preserve">         </w:t>
      </w:r>
      <w:r w:rsidR="001271A2" w:rsidRPr="004416B7">
        <w:rPr>
          <w:b/>
          <w:bCs/>
        </w:rPr>
        <w:t xml:space="preserve">R1.2. </w:t>
      </w:r>
      <w:r w:rsidR="001271A2" w:rsidRPr="004416B7">
        <w:t>Set transmission line relays so they do not operate at or below 115% of the highest seasonal 15-minute Facility Rating</w:t>
      </w:r>
      <w:r w:rsidR="001271A2" w:rsidRPr="004416B7">
        <w:rPr>
          <w:vertAlign w:val="superscript"/>
        </w:rPr>
        <w:t>2</w:t>
      </w:r>
      <w:r w:rsidR="002D694C" w:rsidRPr="004416B7">
        <w:rPr>
          <w:vertAlign w:val="superscript"/>
        </w:rPr>
        <w:t xml:space="preserve"> </w:t>
      </w:r>
      <w:r w:rsidR="001271A2" w:rsidRPr="004416B7">
        <w:t xml:space="preserve">of a circuit (expressed in amperes). </w:t>
      </w:r>
    </w:p>
    <w:p w:rsidR="00744AC2" w:rsidRPr="004416B7" w:rsidRDefault="006E553A" w:rsidP="00744AC2">
      <w:pPr>
        <w:pStyle w:val="Default"/>
        <w:spacing w:after="47"/>
        <w:ind w:left="1080" w:hanging="1080"/>
        <w:rPr>
          <w:b/>
          <w:bCs/>
        </w:rPr>
      </w:pPr>
      <w:r w:rsidRPr="004416B7">
        <w:rPr>
          <w:b/>
          <w:bCs/>
        </w:rPr>
        <w:t xml:space="preserve"> </w:t>
      </w:r>
      <w:r w:rsidR="00744AC2" w:rsidRPr="004416B7">
        <w:rPr>
          <w:b/>
          <w:bCs/>
        </w:rPr>
        <w:t>_______________________________________</w:t>
      </w:r>
    </w:p>
    <w:p w:rsidR="00744AC2" w:rsidRDefault="006E553A" w:rsidP="006E553A">
      <w:pPr>
        <w:pStyle w:val="Default"/>
        <w:spacing w:after="47"/>
        <w:ind w:left="1080" w:hanging="1080"/>
        <w:rPr>
          <w:b/>
          <w:bCs/>
          <w:sz w:val="22"/>
          <w:szCs w:val="22"/>
        </w:rPr>
      </w:pPr>
      <w:r>
        <w:rPr>
          <w:b/>
          <w:bCs/>
          <w:sz w:val="22"/>
          <w:szCs w:val="22"/>
        </w:rPr>
        <w:t xml:space="preserve">       </w:t>
      </w:r>
    </w:p>
    <w:p w:rsidR="00744AC2" w:rsidRDefault="00744AC2" w:rsidP="00744AC2">
      <w:pPr>
        <w:pStyle w:val="Default"/>
        <w:spacing w:after="47"/>
        <w:rPr>
          <w:b/>
          <w:bCs/>
          <w:sz w:val="22"/>
          <w:szCs w:val="22"/>
        </w:rPr>
      </w:pPr>
      <w:r>
        <w:rPr>
          <w:rStyle w:val="FootnoteReference"/>
          <w:sz w:val="18"/>
          <w:szCs w:val="18"/>
          <w:vertAlign w:val="superscript"/>
        </w:rPr>
        <w:t>2</w:t>
      </w:r>
      <w:r w:rsidRPr="002D694C">
        <w:rPr>
          <w:sz w:val="18"/>
          <w:szCs w:val="18"/>
        </w:rPr>
        <w:t xml:space="preserve"> When a 15-minute rating has been calculated and published for use in real-time operations, the 15-minute rati</w:t>
      </w:r>
      <w:r>
        <w:rPr>
          <w:sz w:val="18"/>
          <w:szCs w:val="18"/>
        </w:rPr>
        <w:t xml:space="preserve">ng can be used to establish the </w:t>
      </w:r>
      <w:r w:rsidRPr="002D694C">
        <w:rPr>
          <w:sz w:val="18"/>
          <w:szCs w:val="18"/>
        </w:rPr>
        <w:t>loadability requirement for the protective relays.</w:t>
      </w:r>
    </w:p>
    <w:p w:rsidR="00744AC2" w:rsidRPr="004416B7" w:rsidRDefault="00744AC2" w:rsidP="006E553A">
      <w:pPr>
        <w:pStyle w:val="Default"/>
        <w:spacing w:after="47"/>
        <w:ind w:left="1080" w:hanging="1080"/>
        <w:rPr>
          <w:b/>
          <w:bCs/>
        </w:rPr>
      </w:pPr>
    </w:p>
    <w:p w:rsidR="006E553A" w:rsidRPr="004416B7" w:rsidRDefault="001271A2" w:rsidP="00744AC2">
      <w:pPr>
        <w:pStyle w:val="Default"/>
        <w:spacing w:after="47"/>
        <w:ind w:left="1080" w:hanging="540"/>
      </w:pPr>
      <w:r w:rsidRPr="004416B7">
        <w:rPr>
          <w:b/>
          <w:bCs/>
        </w:rPr>
        <w:t xml:space="preserve">R1.3. </w:t>
      </w:r>
      <w:r w:rsidRPr="004416B7">
        <w:t xml:space="preserve">Set transmission line relays so they do not operate at or below 115% of the maximum theoretical power transfer capability (using a 90-degree angle between the sending-end and receiving-end voltages and either reactance or complex impedance) of the circuit (expressed in amperes) using one of the following to perform the power transfer calculation: </w:t>
      </w:r>
      <w:r w:rsidR="00F55AC9" w:rsidRPr="004416B7">
        <w:br/>
      </w:r>
    </w:p>
    <w:p w:rsidR="00744AC2" w:rsidRPr="004416B7" w:rsidRDefault="00744AC2" w:rsidP="006E553A">
      <w:pPr>
        <w:pStyle w:val="Default"/>
        <w:spacing w:after="47"/>
        <w:ind w:left="1080" w:hanging="1080"/>
      </w:pPr>
    </w:p>
    <w:p w:rsidR="001271A2" w:rsidRPr="004416B7" w:rsidRDefault="006E553A" w:rsidP="006E553A">
      <w:pPr>
        <w:pStyle w:val="Default"/>
        <w:spacing w:after="47"/>
        <w:ind w:left="1080" w:hanging="1080"/>
      </w:pPr>
      <w:r w:rsidRPr="004416B7">
        <w:rPr>
          <w:b/>
          <w:bCs/>
        </w:rPr>
        <w:t xml:space="preserve">                    </w:t>
      </w:r>
      <w:r w:rsidR="001271A2" w:rsidRPr="004416B7">
        <w:rPr>
          <w:b/>
          <w:bCs/>
        </w:rPr>
        <w:t xml:space="preserve">R1.3.1. </w:t>
      </w:r>
      <w:r w:rsidR="001271A2" w:rsidRPr="004416B7">
        <w:t xml:space="preserve">An infinite source (zero source impedance) with a 1.00 per unit bus voltage at each end of </w:t>
      </w:r>
      <w:r w:rsidR="004416B7">
        <w:t xml:space="preserve">    </w:t>
      </w:r>
      <w:r w:rsidR="001271A2" w:rsidRPr="004416B7">
        <w:t xml:space="preserve">the line. </w:t>
      </w:r>
    </w:p>
    <w:p w:rsidR="001271A2" w:rsidRPr="004416B7" w:rsidRDefault="006E553A" w:rsidP="006E553A">
      <w:pPr>
        <w:pStyle w:val="Default"/>
        <w:ind w:left="1890" w:hanging="1890"/>
      </w:pPr>
      <w:r w:rsidRPr="004416B7">
        <w:rPr>
          <w:b/>
          <w:bCs/>
        </w:rPr>
        <w:t xml:space="preserve">                    </w:t>
      </w:r>
      <w:r w:rsidR="001271A2" w:rsidRPr="004416B7">
        <w:rPr>
          <w:b/>
          <w:bCs/>
        </w:rPr>
        <w:t xml:space="preserve">R1.3.2. </w:t>
      </w:r>
      <w:r w:rsidR="001271A2" w:rsidRPr="004416B7">
        <w:t xml:space="preserve">An impedance at each end of the line, which reflects the actual system source impedance with a 1.05 per unit voltage behind each source impedance. </w:t>
      </w:r>
      <w:r w:rsidR="00F55AC9" w:rsidRPr="004416B7">
        <w:br/>
      </w:r>
    </w:p>
    <w:p w:rsidR="006E553A" w:rsidRPr="004416B7" w:rsidRDefault="006E553A" w:rsidP="00F55AC9">
      <w:pPr>
        <w:pStyle w:val="Default"/>
        <w:tabs>
          <w:tab w:val="left" w:pos="540"/>
          <w:tab w:val="left" w:pos="1080"/>
        </w:tabs>
        <w:spacing w:after="47"/>
        <w:ind w:left="990" w:hanging="990"/>
      </w:pPr>
      <w:r w:rsidRPr="004416B7">
        <w:rPr>
          <w:b/>
          <w:bCs/>
        </w:rPr>
        <w:t xml:space="preserve">        </w:t>
      </w:r>
      <w:r w:rsidR="00F55AC9" w:rsidRPr="004416B7">
        <w:rPr>
          <w:b/>
          <w:bCs/>
        </w:rPr>
        <w:t xml:space="preserve"> </w:t>
      </w:r>
      <w:r w:rsidRPr="004416B7">
        <w:rPr>
          <w:b/>
          <w:bCs/>
        </w:rPr>
        <w:t xml:space="preserve">R1.4. </w:t>
      </w:r>
      <w:r w:rsidRPr="004416B7">
        <w:t xml:space="preserve">Set transmission line relays on series compensated transmission lines so they do not operate at or below the      maximum power transfer capability of the line, determined as the greater of: </w:t>
      </w:r>
      <w:r w:rsidRPr="004416B7">
        <w:rPr>
          <w:b/>
          <w:bCs/>
        </w:rPr>
        <w:t xml:space="preserve">- </w:t>
      </w:r>
      <w:r w:rsidRPr="004416B7">
        <w:t xml:space="preserve">115% of the highest emergency rating of the series capacitor. </w:t>
      </w:r>
    </w:p>
    <w:p w:rsidR="006E553A" w:rsidRPr="004416B7" w:rsidRDefault="006E553A" w:rsidP="006E553A">
      <w:pPr>
        <w:pStyle w:val="Default"/>
        <w:tabs>
          <w:tab w:val="left" w:pos="990"/>
        </w:tabs>
        <w:ind w:left="990" w:hanging="990"/>
      </w:pPr>
      <w:r w:rsidRPr="004416B7">
        <w:rPr>
          <w:b/>
          <w:bCs/>
        </w:rPr>
        <w:t xml:space="preserve">    </w:t>
      </w:r>
      <w:r w:rsidR="004416B7">
        <w:rPr>
          <w:b/>
          <w:bCs/>
        </w:rPr>
        <w:t xml:space="preserve">           </w:t>
      </w:r>
      <w:r w:rsidRPr="004416B7">
        <w:rPr>
          <w:b/>
          <w:bCs/>
        </w:rPr>
        <w:t xml:space="preserve">    - </w:t>
      </w:r>
      <w:r w:rsidRPr="004416B7">
        <w:t xml:space="preserve">115% of the maximum power transfer capability of the circuit (expressed in amperes), calculated in accordance with R1.3, using the full line inductive reactance. </w:t>
      </w:r>
    </w:p>
    <w:p w:rsidR="006E553A" w:rsidRPr="004416B7" w:rsidRDefault="006E553A" w:rsidP="006E553A">
      <w:pPr>
        <w:pStyle w:val="Default"/>
      </w:pPr>
    </w:p>
    <w:p w:rsidR="006E553A" w:rsidRPr="004416B7" w:rsidRDefault="006E553A" w:rsidP="00F55AC9">
      <w:pPr>
        <w:pStyle w:val="Default"/>
        <w:tabs>
          <w:tab w:val="left" w:pos="90"/>
          <w:tab w:val="left" w:pos="270"/>
          <w:tab w:val="left" w:pos="450"/>
          <w:tab w:val="left" w:pos="540"/>
        </w:tabs>
        <w:ind w:left="990" w:hanging="989"/>
      </w:pPr>
      <w:r w:rsidRPr="004416B7">
        <w:rPr>
          <w:b/>
          <w:bCs/>
        </w:rPr>
        <w:t xml:space="preserve">       </w:t>
      </w:r>
      <w:r w:rsidR="00F55AC9" w:rsidRPr="004416B7">
        <w:rPr>
          <w:b/>
          <w:bCs/>
        </w:rPr>
        <w:t xml:space="preserve"> </w:t>
      </w:r>
      <w:r w:rsidRPr="004416B7">
        <w:rPr>
          <w:b/>
          <w:bCs/>
        </w:rPr>
        <w:t xml:space="preserve">R1.5. </w:t>
      </w:r>
      <w:r w:rsidRPr="004416B7">
        <w:t>Set transmission line relays on weak source systems so they do not operate at or be</w:t>
      </w:r>
      <w:r w:rsidR="004416B7">
        <w:t>low 170% of the maximum</w:t>
      </w:r>
      <w:r w:rsidR="00F55AC9" w:rsidRPr="004416B7">
        <w:t xml:space="preserve"> </w:t>
      </w:r>
      <w:r w:rsidRPr="004416B7">
        <w:t xml:space="preserve">end-of-line three-phase fault magnitude (expressed in amperes). </w:t>
      </w:r>
      <w:r w:rsidR="00F55AC9" w:rsidRPr="004416B7">
        <w:br/>
      </w:r>
    </w:p>
    <w:p w:rsidR="006E553A" w:rsidRPr="004416B7" w:rsidRDefault="00F55AC9" w:rsidP="00F55AC9">
      <w:pPr>
        <w:pStyle w:val="Default"/>
        <w:tabs>
          <w:tab w:val="left" w:pos="90"/>
        </w:tabs>
        <w:ind w:left="990" w:hanging="990"/>
      </w:pPr>
      <w:r w:rsidRPr="004416B7">
        <w:rPr>
          <w:b/>
          <w:bCs/>
        </w:rPr>
        <w:t xml:space="preserve">        </w:t>
      </w:r>
      <w:r w:rsidR="006E553A" w:rsidRPr="004416B7">
        <w:rPr>
          <w:b/>
          <w:bCs/>
        </w:rPr>
        <w:t xml:space="preserve">R1.6. </w:t>
      </w:r>
      <w:r w:rsidR="006E553A" w:rsidRPr="004416B7">
        <w:t>Set transmission line relays applied on transmission lines connected to generation stations remote to load so t</w:t>
      </w:r>
      <w:r w:rsidR="004416B7">
        <w:t xml:space="preserve"> </w:t>
      </w:r>
      <w:r w:rsidRPr="004416B7">
        <w:t>t</w:t>
      </w:r>
      <w:r w:rsidR="006E553A" w:rsidRPr="004416B7">
        <w:t xml:space="preserve">hey do not operate at or below 230% of the aggregated generation nameplate capability. </w:t>
      </w:r>
      <w:r w:rsidRPr="004416B7">
        <w:br/>
      </w:r>
    </w:p>
    <w:p w:rsidR="006E553A" w:rsidRPr="004416B7" w:rsidRDefault="00F55AC9" w:rsidP="00F55AC9">
      <w:pPr>
        <w:pStyle w:val="Default"/>
        <w:tabs>
          <w:tab w:val="left" w:pos="90"/>
          <w:tab w:val="left" w:pos="360"/>
          <w:tab w:val="left" w:pos="540"/>
          <w:tab w:val="left" w:pos="990"/>
        </w:tabs>
        <w:ind w:left="990" w:hanging="990"/>
      </w:pPr>
      <w:r w:rsidRPr="004416B7">
        <w:rPr>
          <w:b/>
          <w:bCs/>
        </w:rPr>
        <w:t xml:space="preserve">        </w:t>
      </w:r>
      <w:r w:rsidR="006E553A" w:rsidRPr="004416B7">
        <w:rPr>
          <w:b/>
          <w:bCs/>
        </w:rPr>
        <w:t xml:space="preserve">R1.7. </w:t>
      </w:r>
      <w:r w:rsidR="006E553A" w:rsidRPr="004416B7">
        <w:t xml:space="preserve">Set transmission line relays applied at the load center terminal, remote from generation stations, so they do not operate at or below 115% of the maximum current flow from the load to the generation source under any system configuration. </w:t>
      </w:r>
    </w:p>
    <w:p w:rsidR="00F55AC9" w:rsidRPr="004416B7" w:rsidRDefault="00F55AC9" w:rsidP="00F55AC9">
      <w:pPr>
        <w:pStyle w:val="Default"/>
      </w:pPr>
    </w:p>
    <w:p w:rsidR="00F55AC9" w:rsidRPr="004416B7" w:rsidRDefault="00F55AC9" w:rsidP="00F55AC9">
      <w:pPr>
        <w:pStyle w:val="Default"/>
        <w:tabs>
          <w:tab w:val="left" w:pos="450"/>
        </w:tabs>
        <w:spacing w:after="47"/>
        <w:ind w:left="990" w:hanging="990"/>
      </w:pPr>
      <w:r w:rsidRPr="004416B7">
        <w:rPr>
          <w:b/>
          <w:bCs/>
        </w:rPr>
        <w:t xml:space="preserve">        R1.8. </w:t>
      </w:r>
      <w:r w:rsidRPr="004416B7">
        <w:t xml:space="preserve">Set transmission line relays applied on the bulk system-end of transmission lines that serve load remote to the system so they do not operate at or below 115% of the maximum current flow from the system to the load under any system configuration. </w:t>
      </w:r>
      <w:r w:rsidRPr="004416B7">
        <w:br/>
      </w:r>
    </w:p>
    <w:p w:rsidR="00F55AC9" w:rsidRPr="004416B7" w:rsidRDefault="00F55AC9" w:rsidP="00F55AC9">
      <w:pPr>
        <w:pStyle w:val="Default"/>
        <w:tabs>
          <w:tab w:val="left" w:pos="90"/>
        </w:tabs>
        <w:spacing w:after="47"/>
        <w:ind w:left="990" w:hanging="990"/>
      </w:pPr>
      <w:r w:rsidRPr="004416B7">
        <w:rPr>
          <w:b/>
          <w:bCs/>
        </w:rPr>
        <w:t xml:space="preserve">       R1.9. </w:t>
      </w:r>
      <w:r w:rsidRPr="004416B7">
        <w:t xml:space="preserve">Set transmission line relays applied on the load-end of transmission lines that serve load remote to the bulk system so they do not operate at or below 115% of the maximum current flow from the load to the system under any system configuration. </w:t>
      </w:r>
      <w:r w:rsidRPr="004416B7">
        <w:br/>
      </w:r>
    </w:p>
    <w:p w:rsidR="003401F7" w:rsidRPr="004416B7" w:rsidRDefault="00F55AC9" w:rsidP="00F55AC9">
      <w:pPr>
        <w:pStyle w:val="Default"/>
        <w:tabs>
          <w:tab w:val="left" w:pos="90"/>
        </w:tabs>
        <w:spacing w:after="7"/>
        <w:ind w:left="990" w:hanging="990"/>
      </w:pPr>
      <w:r w:rsidRPr="004416B7">
        <w:rPr>
          <w:b/>
          <w:bCs/>
        </w:rPr>
        <w:t xml:space="preserve">       R1.10. </w:t>
      </w:r>
      <w:r w:rsidRPr="004416B7">
        <w:t xml:space="preserve">Set transformer fault protection relays and transmission line relays on transmission lines terminated only with a transformer so that they do not operate at or below the greater of: </w:t>
      </w:r>
    </w:p>
    <w:p w:rsidR="00F55AC9" w:rsidRPr="004416B7" w:rsidRDefault="00F55AC9" w:rsidP="003401F7">
      <w:pPr>
        <w:pStyle w:val="Default"/>
        <w:tabs>
          <w:tab w:val="left" w:pos="90"/>
        </w:tabs>
        <w:spacing w:after="7"/>
        <w:ind w:left="990" w:hanging="90"/>
      </w:pPr>
      <w:r w:rsidRPr="004416B7">
        <w:rPr>
          <w:b/>
          <w:bCs/>
        </w:rPr>
        <w:t xml:space="preserve">- </w:t>
      </w:r>
      <w:r w:rsidRPr="004416B7">
        <w:t xml:space="preserve">150% of the applicable maximum transformer nameplate rating (expressed in amperes), including the forced cooled ratings corresponding to all installed supplemental cooling equipment. </w:t>
      </w:r>
    </w:p>
    <w:p w:rsidR="00F55AC9" w:rsidRPr="004416B7" w:rsidRDefault="00F55AC9" w:rsidP="00F55AC9">
      <w:pPr>
        <w:pStyle w:val="Default"/>
        <w:tabs>
          <w:tab w:val="left" w:pos="90"/>
        </w:tabs>
        <w:ind w:left="991" w:hanging="990"/>
      </w:pPr>
      <w:r w:rsidRPr="004416B7">
        <w:rPr>
          <w:b/>
          <w:bCs/>
        </w:rPr>
        <w:t xml:space="preserve">    </w:t>
      </w:r>
      <w:r w:rsidR="004416B7">
        <w:rPr>
          <w:b/>
          <w:bCs/>
        </w:rPr>
        <w:t xml:space="preserve">         </w:t>
      </w:r>
      <w:r w:rsidRPr="004416B7">
        <w:rPr>
          <w:b/>
          <w:bCs/>
        </w:rPr>
        <w:t xml:space="preserve">   - </w:t>
      </w:r>
      <w:r w:rsidRPr="004416B7">
        <w:t xml:space="preserve">115% of the highest operator established emergency transformer rating. </w:t>
      </w:r>
    </w:p>
    <w:p w:rsidR="00F55AC9" w:rsidRPr="004416B7" w:rsidRDefault="00F55AC9" w:rsidP="00F55AC9">
      <w:pPr>
        <w:pStyle w:val="Default"/>
        <w:tabs>
          <w:tab w:val="left" w:pos="90"/>
        </w:tabs>
        <w:ind w:left="990" w:hanging="990"/>
      </w:pPr>
    </w:p>
    <w:p w:rsidR="003401F7" w:rsidRPr="004416B7" w:rsidRDefault="00F55AC9" w:rsidP="00F55AC9">
      <w:pPr>
        <w:pStyle w:val="Default"/>
        <w:tabs>
          <w:tab w:val="left" w:pos="90"/>
        </w:tabs>
        <w:spacing w:after="4"/>
        <w:ind w:left="990" w:hanging="990"/>
      </w:pPr>
      <w:r w:rsidRPr="004416B7">
        <w:rPr>
          <w:b/>
          <w:bCs/>
        </w:rPr>
        <w:t xml:space="preserve">       R1.11. </w:t>
      </w:r>
      <w:r w:rsidRPr="004416B7">
        <w:t xml:space="preserve">For transformer overload protection relays that do not comply with R1.10 set the relays according to one of the following: </w:t>
      </w:r>
    </w:p>
    <w:p w:rsidR="00F55AC9" w:rsidRPr="004416B7" w:rsidRDefault="00F55AC9" w:rsidP="003401F7">
      <w:pPr>
        <w:pStyle w:val="Default"/>
        <w:tabs>
          <w:tab w:val="left" w:pos="90"/>
        </w:tabs>
        <w:spacing w:after="4"/>
        <w:ind w:left="990" w:hanging="90"/>
      </w:pPr>
      <w:r w:rsidRPr="004416B7">
        <w:rPr>
          <w:b/>
          <w:bCs/>
        </w:rPr>
        <w:t xml:space="preserve">- </w:t>
      </w:r>
      <w:r w:rsidRPr="004416B7">
        <w:t xml:space="preserve">Set the relays to allow the transformer to be operated at an overload level of at least 150% of the maximum applicable nameplate rating, or 115% of the highest operator established emergency transformer rating, whichever is greater. The protection must allow this overload for at least 15 minutes to allow for the operator to take controlled action to relieve the overload. </w:t>
      </w:r>
      <w:r w:rsidRPr="004416B7">
        <w:br/>
      </w:r>
    </w:p>
    <w:p w:rsidR="00F55AC9" w:rsidRPr="004416B7" w:rsidRDefault="00F55AC9" w:rsidP="00F55AC9">
      <w:pPr>
        <w:pStyle w:val="Default"/>
        <w:tabs>
          <w:tab w:val="left" w:pos="90"/>
        </w:tabs>
        <w:ind w:left="990" w:hanging="990"/>
      </w:pPr>
      <w:r w:rsidRPr="004416B7">
        <w:rPr>
          <w:b/>
          <w:bCs/>
        </w:rPr>
        <w:t xml:space="preserve">    </w:t>
      </w:r>
      <w:r w:rsidR="004416B7">
        <w:rPr>
          <w:b/>
          <w:bCs/>
        </w:rPr>
        <w:t xml:space="preserve">         </w:t>
      </w:r>
      <w:r w:rsidRPr="004416B7">
        <w:rPr>
          <w:b/>
          <w:bCs/>
        </w:rPr>
        <w:t xml:space="preserve">    - </w:t>
      </w:r>
      <w:r w:rsidRPr="004416B7">
        <w:t xml:space="preserve">Install supervision for the relays using either a top oil or simulated winding hot spot temperature element. The setting should be no less than 100° C for the top oil or 140° C for the winding hot spot temperature3. </w:t>
      </w:r>
    </w:p>
    <w:p w:rsidR="00F55AC9" w:rsidRPr="004416B7" w:rsidRDefault="00F55AC9" w:rsidP="00F55AC9">
      <w:pPr>
        <w:pStyle w:val="Default"/>
        <w:tabs>
          <w:tab w:val="left" w:pos="90"/>
        </w:tabs>
        <w:ind w:left="990" w:hanging="990"/>
      </w:pPr>
    </w:p>
    <w:p w:rsidR="00F55AC9" w:rsidRPr="004416B7" w:rsidRDefault="00F55AC9" w:rsidP="00F55AC9">
      <w:pPr>
        <w:pStyle w:val="Default"/>
        <w:tabs>
          <w:tab w:val="left" w:pos="90"/>
        </w:tabs>
        <w:spacing w:after="50"/>
        <w:ind w:left="990" w:hanging="990"/>
      </w:pPr>
      <w:r w:rsidRPr="004416B7">
        <w:rPr>
          <w:b/>
          <w:bCs/>
        </w:rPr>
        <w:t xml:space="preserve">     R1.12. </w:t>
      </w:r>
      <w:r w:rsidRPr="004416B7">
        <w:t xml:space="preserve">When the desired transmission line capability is limited by the requirement to adequately protect the transmission line, set the transmission line distance relays to a maximum of 125% of the apparent impedance (at the impedance angle of the transmission line) subject to the following constraints: </w:t>
      </w:r>
      <w:r w:rsidRPr="004416B7">
        <w:br/>
      </w:r>
    </w:p>
    <w:p w:rsidR="00F55AC9" w:rsidRPr="004416B7" w:rsidRDefault="00F55AC9" w:rsidP="00F55AC9">
      <w:pPr>
        <w:pStyle w:val="Default"/>
        <w:tabs>
          <w:tab w:val="left" w:pos="90"/>
        </w:tabs>
        <w:spacing w:after="50"/>
        <w:ind w:left="990" w:hanging="990"/>
      </w:pPr>
      <w:r w:rsidRPr="004416B7">
        <w:rPr>
          <w:b/>
          <w:bCs/>
        </w:rPr>
        <w:t xml:space="preserve">                   R1.12.1. </w:t>
      </w:r>
      <w:r w:rsidRPr="004416B7">
        <w:t xml:space="preserve">Set the maximum torque angle (MTA) to 90 degrees or the highest supported by the manufacturer. </w:t>
      </w:r>
      <w:r w:rsidRPr="004416B7">
        <w:br/>
      </w:r>
    </w:p>
    <w:p w:rsidR="00F55AC9" w:rsidRPr="004416B7" w:rsidRDefault="00F55AC9" w:rsidP="00F55AC9">
      <w:pPr>
        <w:pStyle w:val="Default"/>
        <w:tabs>
          <w:tab w:val="left" w:pos="90"/>
        </w:tabs>
        <w:spacing w:after="50"/>
        <w:ind w:left="990" w:hanging="990"/>
      </w:pPr>
      <w:r w:rsidRPr="004416B7">
        <w:rPr>
          <w:b/>
          <w:bCs/>
        </w:rPr>
        <w:t xml:space="preserve">                   R1.12.2. </w:t>
      </w:r>
      <w:r w:rsidRPr="004416B7">
        <w:t xml:space="preserve">Evaluate the relay loadability in amperes at the relay trip point at 0.85 per unit voltage and a power factor angle of 30 degrees. </w:t>
      </w:r>
      <w:r w:rsidRPr="004416B7">
        <w:br/>
      </w:r>
    </w:p>
    <w:p w:rsidR="00F55AC9" w:rsidRPr="004416B7" w:rsidRDefault="00F55AC9" w:rsidP="00F55AC9">
      <w:pPr>
        <w:pStyle w:val="Default"/>
        <w:tabs>
          <w:tab w:val="left" w:pos="90"/>
        </w:tabs>
        <w:ind w:left="990" w:hanging="990"/>
      </w:pPr>
      <w:r w:rsidRPr="004416B7">
        <w:rPr>
          <w:b/>
          <w:bCs/>
        </w:rPr>
        <w:t xml:space="preserve">                   R1.12.3. </w:t>
      </w:r>
      <w:r w:rsidRPr="004416B7">
        <w:t xml:space="preserve">Include a relay setting component of 87% of the current calculated in R1.12.2 in the Facility Rating determination for the circuit. </w:t>
      </w:r>
    </w:p>
    <w:p w:rsidR="00F55AC9" w:rsidRPr="004416B7" w:rsidRDefault="00F55AC9" w:rsidP="00F55AC9">
      <w:pPr>
        <w:pStyle w:val="Default"/>
        <w:tabs>
          <w:tab w:val="left" w:pos="90"/>
        </w:tabs>
        <w:ind w:left="990" w:hanging="990"/>
      </w:pPr>
    </w:p>
    <w:p w:rsidR="00F55AC9" w:rsidRPr="004416B7" w:rsidRDefault="00F55AC9" w:rsidP="00F55AC9">
      <w:pPr>
        <w:pStyle w:val="Default"/>
        <w:tabs>
          <w:tab w:val="left" w:pos="90"/>
          <w:tab w:val="left" w:pos="360"/>
          <w:tab w:val="left" w:pos="720"/>
        </w:tabs>
        <w:ind w:left="990" w:hanging="990"/>
      </w:pPr>
      <w:r w:rsidRPr="004416B7">
        <w:rPr>
          <w:b/>
          <w:bCs/>
        </w:rPr>
        <w:t xml:space="preserve">       R1.13. </w:t>
      </w:r>
      <w:r w:rsidRPr="004416B7">
        <w:t xml:space="preserve">Where other situations present practical limitations on circuit capability, set the phase protection relays so they do not operate at or below 115% of such limitations. </w:t>
      </w:r>
    </w:p>
    <w:p w:rsidR="00F55AC9" w:rsidRPr="004416B7" w:rsidRDefault="00F55AC9" w:rsidP="00F55AC9">
      <w:pPr>
        <w:pStyle w:val="Default"/>
      </w:pPr>
    </w:p>
    <w:p w:rsidR="006E553A" w:rsidRPr="004416B7" w:rsidRDefault="006E553A" w:rsidP="006E553A">
      <w:pPr>
        <w:pStyle w:val="Default"/>
      </w:pP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534C49" w:rsidRPr="004416B7" w:rsidRDefault="00534C49" w:rsidP="004416B7">
      <w:pPr>
        <w:pStyle w:val="Heading1"/>
      </w:pPr>
      <w:r w:rsidRPr="004416B7">
        <w:t>R1 Supporting Evidence and Documentation</w:t>
      </w:r>
    </w:p>
    <w:p w:rsidR="00534C49" w:rsidRDefault="00534C49" w:rsidP="00534C49">
      <w:pPr>
        <w:widowControl w:val="0"/>
        <w:spacing w:line="266" w:lineRule="exact"/>
        <w:rPr>
          <w:rFonts w:ascii="Times New Roman" w:hAnsi="Times New Roman" w:cs="Times New Roman"/>
          <w:b/>
          <w:bCs/>
          <w:color w:val="FF0000"/>
          <w:sz w:val="24"/>
          <w:szCs w:val="24"/>
        </w:rPr>
      </w:pPr>
    </w:p>
    <w:p w:rsidR="00534C49" w:rsidRDefault="00534C49" w:rsidP="00534C4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34C49" w:rsidRDefault="00534C49" w:rsidP="00534C4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4C49" w:rsidTr="00534C49">
        <w:trPr>
          <w:gridAfter w:val="1"/>
          <w:wAfter w:w="1224" w:type="dxa"/>
          <w:trHeight w:val="945"/>
        </w:trPr>
        <w:tc>
          <w:tcPr>
            <w:tcW w:w="1098" w:type="dxa"/>
            <w:tcBorders>
              <w:top w:val="nil"/>
              <w:left w:val="nil"/>
              <w:bottom w:val="nil"/>
              <w:right w:val="nil"/>
            </w:tcBorders>
          </w:tcPr>
          <w:p w:rsidR="00534C49" w:rsidRDefault="00534C4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34C49" w:rsidRDefault="00534C4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34C49" w:rsidRDefault="00534C4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34C49" w:rsidTr="00534C49">
        <w:tc>
          <w:tcPr>
            <w:tcW w:w="78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bl>
    <w:p w:rsidR="00534C49" w:rsidRDefault="00534C49"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6E553A">
        <w:rPr>
          <w:rFonts w:ascii="Times New Roman" w:hAnsi="Times New Roman" w:cs="Times New Roman"/>
          <w:b/>
          <w:bCs/>
          <w:color w:val="264D74"/>
          <w:sz w:val="24"/>
          <w:szCs w:val="24"/>
        </w:rPr>
        <w:t>PRC-023</w:t>
      </w:r>
      <w:r>
        <w:rPr>
          <w:rFonts w:ascii="Times New Roman" w:hAnsi="Times New Roman" w:cs="Times New Roman"/>
          <w:b/>
          <w:bCs/>
          <w:color w:val="264D74"/>
          <w:sz w:val="24"/>
          <w:szCs w:val="24"/>
        </w:rPr>
        <w:t>-</w:t>
      </w:r>
      <w:r w:rsidRPr="009C039C">
        <w:rPr>
          <w:rFonts w:ascii="Times New Roman" w:hAnsi="Times New Roman" w:cs="Times New Roman"/>
          <w:b/>
          <w:bCs/>
          <w:color w:val="264D74"/>
          <w:sz w:val="24"/>
          <w:szCs w:val="24"/>
        </w:rPr>
        <w:t>1 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2D694C" w:rsidRDefault="00C46F97"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2D694C">
        <w:rPr>
          <w:rFonts w:ascii="Times New Roman" w:hAnsi="Times New Roman" w:cs="Times New Roman"/>
          <w:color w:val="365F91"/>
          <w:sz w:val="24"/>
          <w:szCs w:val="24"/>
        </w:rPr>
        <w:t>Verify each TO, GO and DP evaluated relay loadability at 0.85 per unit voltage and a power factor angle of 30 degrees.</w:t>
      </w:r>
    </w:p>
    <w:p w:rsidR="00D37D96" w:rsidRDefault="00D37D96" w:rsidP="00AD5422">
      <w:pPr>
        <w:widowControl w:val="0"/>
        <w:tabs>
          <w:tab w:val="left" w:pos="1080"/>
        </w:tabs>
        <w:spacing w:line="284" w:lineRule="exact"/>
        <w:ind w:left="1620" w:hanging="1620"/>
        <w:rPr>
          <w:rFonts w:ascii="Times New Roman" w:hAnsi="Times New Roman" w:cs="Times New Roman"/>
          <w:color w:val="365F91"/>
          <w:sz w:val="24"/>
          <w:szCs w:val="24"/>
        </w:rPr>
      </w:pPr>
    </w:p>
    <w:p w:rsidR="002D694C" w:rsidRPr="00A74C27" w:rsidRDefault="002D694C" w:rsidP="00AD5422">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 xml:space="preserve">___Verify </w:t>
      </w:r>
      <w:r w:rsidR="00D37D96">
        <w:rPr>
          <w:rFonts w:ascii="Times New Roman" w:hAnsi="Times New Roman" w:cs="Times New Roman"/>
          <w:color w:val="365F91"/>
          <w:sz w:val="24"/>
          <w:szCs w:val="24"/>
        </w:rPr>
        <w:t>the</w:t>
      </w:r>
      <w:r>
        <w:rPr>
          <w:rFonts w:ascii="Times New Roman" w:hAnsi="Times New Roman" w:cs="Times New Roman"/>
          <w:color w:val="365F91"/>
          <w:sz w:val="24"/>
          <w:szCs w:val="24"/>
        </w:rPr>
        <w:t xml:space="preserve"> TO, GO </w:t>
      </w:r>
      <w:r w:rsidR="00D37D96">
        <w:rPr>
          <w:rFonts w:ascii="Times New Roman" w:hAnsi="Times New Roman" w:cs="Times New Roman"/>
          <w:color w:val="365F91"/>
          <w:sz w:val="24"/>
          <w:szCs w:val="24"/>
        </w:rPr>
        <w:t>or</w:t>
      </w:r>
      <w:r>
        <w:rPr>
          <w:rFonts w:ascii="Times New Roman" w:hAnsi="Times New Roman" w:cs="Times New Roman"/>
          <w:color w:val="365F91"/>
          <w:sz w:val="24"/>
          <w:szCs w:val="24"/>
        </w:rPr>
        <w:t xml:space="preserve"> DP</w:t>
      </w:r>
      <w:r w:rsidR="00AA1AA8">
        <w:rPr>
          <w:rFonts w:ascii="Times New Roman" w:hAnsi="Times New Roman" w:cs="Times New Roman"/>
          <w:color w:val="365F91"/>
          <w:sz w:val="24"/>
          <w:szCs w:val="24"/>
        </w:rPr>
        <w:t xml:space="preserve"> used any one of the criteria (R1.1 through R1.13) </w:t>
      </w:r>
      <w:r w:rsidR="00AA1AA8" w:rsidRPr="00AA1AA8">
        <w:rPr>
          <w:rFonts w:ascii="Times New Roman" w:hAnsi="Times New Roman" w:cs="Times New Roman"/>
          <w:color w:val="365F91"/>
          <w:sz w:val="24"/>
          <w:szCs w:val="24"/>
        </w:rPr>
        <w:t>for any specific circuit terminal to prevent its phase protective relay settings from limiting transmission system loadability while maintaining reliable protection of the Bulk Electric System for all fault conditions.</w:t>
      </w:r>
    </w:p>
    <w:p w:rsidR="00C46F97" w:rsidRDefault="00AD5422" w:rsidP="00AD5422">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AD5422" w:rsidRPr="00A74C27" w:rsidRDefault="00C46F97" w:rsidP="00D37D96">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sidR="00AD5422"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F55AC9" w:rsidRPr="004416B7" w:rsidRDefault="00F55AC9" w:rsidP="00F55AC9">
      <w:pPr>
        <w:pStyle w:val="Default"/>
      </w:pPr>
    </w:p>
    <w:p w:rsidR="004416B7" w:rsidRPr="004416B7" w:rsidRDefault="004416B7" w:rsidP="00F55AC9">
      <w:pPr>
        <w:pStyle w:val="Default"/>
      </w:pPr>
    </w:p>
    <w:p w:rsidR="00F55AC9" w:rsidRPr="004416B7" w:rsidRDefault="00F55AC9" w:rsidP="00822727">
      <w:pPr>
        <w:pStyle w:val="Default"/>
        <w:ind w:left="450" w:hanging="450"/>
      </w:pPr>
      <w:r w:rsidRPr="004416B7">
        <w:rPr>
          <w:b/>
          <w:bCs/>
        </w:rPr>
        <w:t xml:space="preserve">R2. </w:t>
      </w:r>
      <w:r w:rsidRPr="004416B7">
        <w:t xml:space="preserve">The Transmission Owner, Generator Owner, or Distribution Provider that uses a circuit capability with the practical limitations described in R1.6, R1.7, R1.8, R1.9, R1.12, or R1.13 shall use the calculated circuit capability as the Facility Rating of the circuit and shall obtain the agreement of the Planning Coordinator, Transmission Operator, and Reliability Coordinator with the calculated circuit capability. [Violation Risk Factor: Medium] [Time Horizon: Long Term Planning] </w:t>
      </w:r>
    </w:p>
    <w:p w:rsidR="00F55AC9" w:rsidRPr="004416B7" w:rsidRDefault="00F55AC9" w:rsidP="00F55AC9">
      <w:pPr>
        <w:pStyle w:val="Default"/>
      </w:pPr>
    </w:p>
    <w:p w:rsidR="008C5E4C" w:rsidRPr="004416B7" w:rsidRDefault="008C5E4C" w:rsidP="008C5E4C">
      <w:pPr>
        <w:widowControl w:val="0"/>
        <w:spacing w:line="294" w:lineRule="exact"/>
        <w:ind w:left="720"/>
        <w:rPr>
          <w:rFonts w:ascii="Times New Roman" w:hAnsi="Times New Roman" w:cs="Times New Roman"/>
          <w:b/>
          <w:bCs/>
          <w:color w:val="003366"/>
          <w:sz w:val="24"/>
          <w:szCs w:val="24"/>
        </w:rPr>
      </w:pP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D96C51" w:rsidRPr="009C039C" w:rsidRDefault="00D96C51" w:rsidP="00D96C51">
      <w:pPr>
        <w:widowControl w:val="0"/>
        <w:tabs>
          <w:tab w:val="left" w:pos="720"/>
        </w:tabs>
        <w:spacing w:line="294" w:lineRule="exact"/>
        <w:ind w:left="720"/>
        <w:rPr>
          <w:rFonts w:ascii="Times New Roman" w:hAnsi="Times New Roman" w:cs="Times New Roman"/>
          <w:b/>
          <w:bCs/>
          <w:i/>
          <w:iCs/>
          <w:color w:val="000000"/>
          <w:sz w:val="24"/>
          <w:szCs w:val="24"/>
        </w:rPr>
      </w:pPr>
      <w:r>
        <w:rPr>
          <w:rFonts w:ascii="Times New Roman" w:hAnsi="Times New Roman" w:cs="Times New Roman"/>
          <w:b/>
          <w:bCs/>
          <w:sz w:val="24"/>
          <w:szCs w:val="24"/>
        </w:rPr>
        <w:t xml:space="preserve">Question: </w:t>
      </w:r>
      <w:r w:rsidRPr="003401F7">
        <w:rPr>
          <w:rFonts w:ascii="Times New Roman" w:hAnsi="Times New Roman" w:cs="Times New Roman"/>
          <w:bCs/>
          <w:sz w:val="24"/>
          <w:szCs w:val="24"/>
        </w:rPr>
        <w:t>Did the TO, GO or DP use the circuit capability with the practical limitations described in R1.6, R1.7, R1.8, R1.9, R1.12 or R1.13?</w:t>
      </w:r>
      <w:r w:rsidR="00D37D96" w:rsidRPr="003401F7">
        <w:rPr>
          <w:rFonts w:ascii="Times New Roman" w:hAnsi="Times New Roman" w:cs="Times New Roman"/>
          <w:bCs/>
          <w:sz w:val="24"/>
          <w:szCs w:val="24"/>
        </w:rPr>
        <w:t xml:space="preserve"> If yes, provide details.</w:t>
      </w:r>
    </w:p>
    <w:p w:rsidR="00D96C51" w:rsidRPr="009C039C" w:rsidRDefault="00D96C51" w:rsidP="00D96C51">
      <w:pPr>
        <w:widowControl w:val="0"/>
        <w:tabs>
          <w:tab w:val="left" w:pos="720"/>
        </w:tabs>
        <w:spacing w:line="186" w:lineRule="exact"/>
        <w:ind w:left="720"/>
        <w:rPr>
          <w:rFonts w:ascii="Times New Roman" w:hAnsi="Times New Roman" w:cs="Times New Roman"/>
          <w:sz w:val="24"/>
          <w:szCs w:val="24"/>
        </w:rPr>
      </w:pPr>
    </w:p>
    <w:p w:rsidR="00D96C51" w:rsidRPr="009C039C" w:rsidRDefault="00D96C51" w:rsidP="00D96C5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D96C51" w:rsidRPr="009C039C" w:rsidRDefault="00D96C51" w:rsidP="00D96C51">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D96C51" w:rsidRDefault="00D96C51"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534C49" w:rsidRPr="004416B7" w:rsidRDefault="00534C49" w:rsidP="004416B7">
      <w:pPr>
        <w:pStyle w:val="Heading1"/>
      </w:pPr>
      <w:r w:rsidRPr="004416B7">
        <w:t>R2 Supporting Evidence and Documentation</w:t>
      </w:r>
    </w:p>
    <w:p w:rsidR="00534C49" w:rsidRDefault="00534C49" w:rsidP="00534C49">
      <w:pPr>
        <w:widowControl w:val="0"/>
        <w:spacing w:line="266" w:lineRule="exact"/>
        <w:rPr>
          <w:rFonts w:ascii="Times New Roman" w:hAnsi="Times New Roman" w:cs="Times New Roman"/>
          <w:b/>
          <w:bCs/>
          <w:color w:val="FF0000"/>
          <w:sz w:val="24"/>
          <w:szCs w:val="24"/>
        </w:rPr>
      </w:pPr>
    </w:p>
    <w:p w:rsidR="00534C49" w:rsidRDefault="00534C49" w:rsidP="00534C4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34C49" w:rsidRDefault="00534C49" w:rsidP="00534C4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4C49" w:rsidTr="00534C49">
        <w:trPr>
          <w:gridAfter w:val="1"/>
          <w:wAfter w:w="1224" w:type="dxa"/>
          <w:trHeight w:val="945"/>
        </w:trPr>
        <w:tc>
          <w:tcPr>
            <w:tcW w:w="1098" w:type="dxa"/>
            <w:tcBorders>
              <w:top w:val="nil"/>
              <w:left w:val="nil"/>
              <w:bottom w:val="nil"/>
              <w:right w:val="nil"/>
            </w:tcBorders>
          </w:tcPr>
          <w:p w:rsidR="00534C49" w:rsidRDefault="00534C4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34C49" w:rsidRDefault="00534C4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34C49" w:rsidRDefault="00534C4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34C49" w:rsidTr="00534C49">
        <w:tc>
          <w:tcPr>
            <w:tcW w:w="78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bl>
    <w:p w:rsidR="00D96C51" w:rsidRDefault="00D96C51"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822727">
        <w:rPr>
          <w:rFonts w:ascii="Times New Roman" w:hAnsi="Times New Roman" w:cs="Times New Roman"/>
          <w:b/>
          <w:bCs/>
          <w:color w:val="264D74"/>
          <w:sz w:val="24"/>
          <w:szCs w:val="24"/>
        </w:rPr>
        <w:t>PRC-023</w:t>
      </w:r>
      <w:r>
        <w:rPr>
          <w:rFonts w:ascii="Times New Roman" w:hAnsi="Times New Roman" w:cs="Times New Roman"/>
          <w:b/>
          <w:bCs/>
          <w:color w:val="264D74"/>
          <w:sz w:val="24"/>
          <w:szCs w:val="24"/>
        </w:rPr>
        <w:t>-</w:t>
      </w:r>
      <w:r w:rsidRPr="009C039C">
        <w:rPr>
          <w:rFonts w:ascii="Times New Roman" w:hAnsi="Times New Roman" w:cs="Times New Roman"/>
          <w:b/>
          <w:bCs/>
          <w:color w:val="264D74"/>
          <w:sz w:val="24"/>
          <w:szCs w:val="24"/>
        </w:rPr>
        <w:t>1 R</w:t>
      </w:r>
      <w:r>
        <w:rPr>
          <w:rFonts w:ascii="Times New Roman" w:hAnsi="Times New Roman" w:cs="Times New Roman"/>
          <w:b/>
          <w:bCs/>
          <w:color w:val="264D74"/>
          <w:sz w:val="24"/>
          <w:szCs w:val="24"/>
        </w:rPr>
        <w:t>2</w:t>
      </w:r>
      <w:r w:rsidRPr="009C039C">
        <w:rPr>
          <w:rFonts w:ascii="Times New Roman" w:hAnsi="Times New Roman" w:cs="Times New Roman"/>
          <w:b/>
          <w:bCs/>
          <w:color w:val="264D74"/>
          <w:sz w:val="24"/>
          <w:szCs w:val="24"/>
        </w:rPr>
        <w:t>.</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Default="008C5E4C" w:rsidP="00534C49">
      <w:pPr>
        <w:widowControl w:val="0"/>
        <w:tabs>
          <w:tab w:val="left" w:pos="1080"/>
        </w:tabs>
        <w:spacing w:line="284" w:lineRule="exact"/>
        <w:ind w:left="1080" w:hanging="108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00C46F97" w:rsidRPr="00A74C27">
        <w:rPr>
          <w:rFonts w:ascii="Times New Roman" w:hAnsi="Times New Roman" w:cs="Times New Roman"/>
          <w:bCs/>
          <w:color w:val="365F91"/>
          <w:sz w:val="24"/>
          <w:szCs w:val="24"/>
        </w:rPr>
        <w:t>___</w:t>
      </w:r>
      <w:r w:rsidR="00D96C51">
        <w:rPr>
          <w:rFonts w:ascii="Times New Roman" w:hAnsi="Times New Roman" w:cs="Times New Roman"/>
          <w:color w:val="365F91"/>
          <w:sz w:val="24"/>
          <w:szCs w:val="24"/>
        </w:rPr>
        <w:t xml:space="preserve">Verify the entity used calculated circuit capability as the Facility Rating of the circuit and obtained the agreement of the </w:t>
      </w:r>
      <w:r w:rsidR="00D37D96">
        <w:rPr>
          <w:rFonts w:ascii="Times New Roman" w:hAnsi="Times New Roman" w:cs="Times New Roman"/>
          <w:color w:val="365F91"/>
          <w:sz w:val="24"/>
          <w:szCs w:val="24"/>
        </w:rPr>
        <w:t>PC</w:t>
      </w:r>
      <w:r w:rsidR="00D96C51">
        <w:rPr>
          <w:rFonts w:ascii="Times New Roman" w:hAnsi="Times New Roman" w:cs="Times New Roman"/>
          <w:color w:val="365F91"/>
          <w:sz w:val="24"/>
          <w:szCs w:val="24"/>
        </w:rPr>
        <w:t xml:space="preserve">, </w:t>
      </w:r>
      <w:r w:rsidR="00D37D96">
        <w:rPr>
          <w:rFonts w:ascii="Times New Roman" w:hAnsi="Times New Roman" w:cs="Times New Roman"/>
          <w:color w:val="365F91"/>
          <w:sz w:val="24"/>
          <w:szCs w:val="24"/>
        </w:rPr>
        <w:t>TOP</w:t>
      </w:r>
      <w:r w:rsidR="00D96C51">
        <w:rPr>
          <w:rFonts w:ascii="Times New Roman" w:hAnsi="Times New Roman" w:cs="Times New Roman"/>
          <w:color w:val="365F91"/>
          <w:sz w:val="24"/>
          <w:szCs w:val="24"/>
        </w:rPr>
        <w:t xml:space="preserve"> and the </w:t>
      </w:r>
      <w:r w:rsidR="00D37D96">
        <w:rPr>
          <w:rFonts w:ascii="Times New Roman" w:hAnsi="Times New Roman" w:cs="Times New Roman"/>
          <w:color w:val="365F91"/>
          <w:sz w:val="24"/>
          <w:szCs w:val="24"/>
        </w:rPr>
        <w:t>RC</w:t>
      </w:r>
      <w:r w:rsidR="00D96C51">
        <w:rPr>
          <w:rFonts w:ascii="Times New Roman" w:hAnsi="Times New Roman" w:cs="Times New Roman"/>
          <w:color w:val="365F91"/>
          <w:sz w:val="24"/>
          <w:szCs w:val="24"/>
        </w:rPr>
        <w:t>.</w:t>
      </w:r>
      <w:r w:rsidR="00C46F97">
        <w:rPr>
          <w:rFonts w:ascii="Times New Roman" w:hAnsi="Times New Roman" w:cs="Times New Roman"/>
          <w:color w:val="365F91"/>
          <w:sz w:val="24"/>
          <w:szCs w:val="24"/>
        </w:rPr>
        <w:t xml:space="preserve"> </w:t>
      </w:r>
    </w:p>
    <w:p w:rsidR="008C5E4C" w:rsidRPr="008C5E4C" w:rsidRDefault="008C5E4C" w:rsidP="00D96C51">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p>
    <w:p w:rsidR="00C46F97" w:rsidRDefault="00C46F97"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C46F97" w:rsidRPr="00A74C27" w:rsidRDefault="00C46F97"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p>
    <w:p w:rsidR="00822727" w:rsidRDefault="00822727" w:rsidP="00822727">
      <w:pPr>
        <w:pStyle w:val="Default"/>
      </w:pPr>
    </w:p>
    <w:p w:rsidR="00822727" w:rsidRPr="004416B7" w:rsidRDefault="00822727" w:rsidP="00822727">
      <w:pPr>
        <w:pStyle w:val="Default"/>
        <w:ind w:left="450" w:hanging="450"/>
      </w:pPr>
      <w:r w:rsidRPr="004416B7">
        <w:rPr>
          <w:b/>
          <w:bCs/>
        </w:rPr>
        <w:t xml:space="preserve">R3. </w:t>
      </w:r>
      <w:r w:rsidRPr="004416B7">
        <w:t xml:space="preserve">The Planning Coordinator shall determine which of the facilities (transmission lines operated at 100 kV to 200 kV and transformers with low voltage terminals connected at 100 kV to 200 kV) in its Planning Coordinator Area are critical to the reliability of the Bulk Electric System to identify the facilities from 100 kV to 200 kV that must meet Requirement 1 to prevent potential cascade tripping that may occur when protective relay settings limit transmission loadability. [Violation Risk Factor: Medium] [Time Horizon: Long Term Planning] </w:t>
      </w:r>
    </w:p>
    <w:p w:rsidR="00D83905" w:rsidRPr="004416B7" w:rsidRDefault="00D83905" w:rsidP="00822727">
      <w:pPr>
        <w:pStyle w:val="Default"/>
        <w:ind w:left="450" w:hanging="450"/>
      </w:pPr>
    </w:p>
    <w:p w:rsidR="00822727" w:rsidRPr="004416B7" w:rsidRDefault="00822727" w:rsidP="00154E81">
      <w:pPr>
        <w:pStyle w:val="Default"/>
        <w:tabs>
          <w:tab w:val="left" w:pos="432"/>
        </w:tabs>
        <w:ind w:left="1017" w:hanging="585"/>
      </w:pPr>
      <w:r w:rsidRPr="004416B7">
        <w:rPr>
          <w:b/>
          <w:bCs/>
        </w:rPr>
        <w:t xml:space="preserve">R3.1. </w:t>
      </w:r>
      <w:r w:rsidRPr="004416B7">
        <w:t>The Planning Coordinator shall have a process to determine the facilities that are critic</w:t>
      </w:r>
      <w:r w:rsidR="004416B7">
        <w:t xml:space="preserve">al to the reliability of the </w:t>
      </w:r>
      <w:r w:rsidRPr="004416B7">
        <w:t xml:space="preserve">Bulk Electric System. </w:t>
      </w:r>
      <w:r w:rsidRPr="004416B7">
        <w:br/>
      </w:r>
    </w:p>
    <w:p w:rsidR="00822727" w:rsidRPr="004416B7" w:rsidRDefault="00822727" w:rsidP="00822727">
      <w:pPr>
        <w:pStyle w:val="Default"/>
        <w:ind w:left="1710" w:hanging="1710"/>
      </w:pPr>
      <w:r w:rsidRPr="004416B7">
        <w:rPr>
          <w:b/>
          <w:bCs/>
        </w:rPr>
        <w:t xml:space="preserve">                  R3.1.1. </w:t>
      </w:r>
      <w:r w:rsidRPr="004416B7">
        <w:t xml:space="preserve">This process shall consider input from adjoining Planning Coordinators and affected Reliability Coordinators. </w:t>
      </w:r>
    </w:p>
    <w:p w:rsidR="00822727" w:rsidRPr="004416B7" w:rsidRDefault="00822727" w:rsidP="00822727">
      <w:pPr>
        <w:pStyle w:val="Default"/>
        <w:ind w:left="450" w:hanging="450"/>
      </w:pPr>
    </w:p>
    <w:p w:rsidR="00822727" w:rsidRPr="004416B7" w:rsidRDefault="00822727" w:rsidP="00822727">
      <w:pPr>
        <w:pStyle w:val="Default"/>
        <w:tabs>
          <w:tab w:val="left" w:pos="450"/>
          <w:tab w:val="left" w:pos="477"/>
          <w:tab w:val="left" w:pos="540"/>
          <w:tab w:val="left" w:pos="630"/>
          <w:tab w:val="left" w:pos="990"/>
        </w:tabs>
        <w:ind w:left="1017" w:hanging="1017"/>
      </w:pPr>
      <w:r w:rsidRPr="004416B7">
        <w:rPr>
          <w:b/>
          <w:bCs/>
        </w:rPr>
        <w:t xml:space="preserve">        R3.2. </w:t>
      </w:r>
      <w:r w:rsidRPr="004416B7">
        <w:t>The Planning Coordinator shall maintain a current list of facilities determined ac</w:t>
      </w:r>
      <w:r w:rsidR="004416B7">
        <w:t xml:space="preserve">cording to the process </w:t>
      </w:r>
      <w:r w:rsidRPr="004416B7">
        <w:t xml:space="preserve">described in R3.1. </w:t>
      </w:r>
      <w:r w:rsidRPr="004416B7">
        <w:br/>
      </w:r>
    </w:p>
    <w:p w:rsidR="00822727" w:rsidRPr="004416B7" w:rsidRDefault="00822727" w:rsidP="00822727">
      <w:pPr>
        <w:pStyle w:val="Default"/>
        <w:ind w:left="990" w:hanging="990"/>
      </w:pPr>
      <w:r w:rsidRPr="004416B7">
        <w:rPr>
          <w:b/>
          <w:bCs/>
        </w:rPr>
        <w:t xml:space="preserve">       R3.3. </w:t>
      </w:r>
      <w:r w:rsidRPr="004416B7">
        <w:t xml:space="preserve">The Planning Coordinator shall provide a list of facilities to its Reliability Coordinators, Transmission Owners, Generator Owners, and Distribution Providers within 30 days of the establishment of the initial list and within 30 days of any changes to the list. </w:t>
      </w:r>
    </w:p>
    <w:p w:rsidR="00822727" w:rsidRPr="004416B7" w:rsidRDefault="00822727" w:rsidP="00822727">
      <w:pPr>
        <w:pStyle w:val="Default"/>
      </w:pPr>
    </w:p>
    <w:p w:rsidR="00C46F97" w:rsidRPr="004416B7" w:rsidRDefault="00C46F97" w:rsidP="00281790">
      <w:pPr>
        <w:widowControl w:val="0"/>
        <w:spacing w:line="294" w:lineRule="exact"/>
        <w:rPr>
          <w:rFonts w:ascii="Times New Roman" w:hAnsi="Times New Roman" w:cs="Times New Roman"/>
          <w:b/>
          <w:bCs/>
          <w:color w:val="003366"/>
          <w:sz w:val="24"/>
          <w:szCs w:val="24"/>
        </w:rPr>
      </w:pPr>
    </w:p>
    <w:p w:rsidR="008C5E4C" w:rsidRPr="009C039C" w:rsidRDefault="008C5E4C" w:rsidP="008C5E4C">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tabs>
          <w:tab w:val="left" w:pos="720"/>
        </w:tabs>
        <w:spacing w:line="186" w:lineRule="exact"/>
        <w:ind w:left="720"/>
        <w:rPr>
          <w:rFonts w:ascii="Times New Roman" w:hAnsi="Times New Roman" w:cs="Times New Roman"/>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534C49" w:rsidRPr="004416B7" w:rsidRDefault="00534C49" w:rsidP="004416B7">
      <w:pPr>
        <w:pStyle w:val="Heading1"/>
      </w:pPr>
      <w:r w:rsidRPr="004416B7">
        <w:t>R3 Supporting Evidence and Documentation</w:t>
      </w:r>
    </w:p>
    <w:p w:rsidR="00534C49" w:rsidRDefault="00534C49" w:rsidP="00534C49">
      <w:pPr>
        <w:widowControl w:val="0"/>
        <w:spacing w:line="266" w:lineRule="exact"/>
        <w:rPr>
          <w:rFonts w:ascii="Times New Roman" w:hAnsi="Times New Roman" w:cs="Times New Roman"/>
          <w:b/>
          <w:bCs/>
          <w:color w:val="FF0000"/>
          <w:sz w:val="24"/>
          <w:szCs w:val="24"/>
        </w:rPr>
      </w:pPr>
    </w:p>
    <w:p w:rsidR="00534C49" w:rsidRDefault="00534C49" w:rsidP="00534C49">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534C49" w:rsidRDefault="00534C49" w:rsidP="00534C49">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534C49" w:rsidTr="00534C49">
        <w:trPr>
          <w:gridAfter w:val="1"/>
          <w:wAfter w:w="1224" w:type="dxa"/>
          <w:trHeight w:val="945"/>
        </w:trPr>
        <w:tc>
          <w:tcPr>
            <w:tcW w:w="1098" w:type="dxa"/>
            <w:tcBorders>
              <w:top w:val="nil"/>
              <w:left w:val="nil"/>
              <w:bottom w:val="nil"/>
              <w:right w:val="nil"/>
            </w:tcBorders>
          </w:tcPr>
          <w:p w:rsidR="00534C49" w:rsidRDefault="00534C49">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534C49" w:rsidRDefault="00534C49">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534C49" w:rsidRDefault="00534C49">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534C49" w:rsidTr="00534C49">
        <w:tc>
          <w:tcPr>
            <w:tcW w:w="78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534C49" w:rsidRDefault="00534C49">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hideMark/>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r w:rsidR="00534C49" w:rsidTr="00534C49">
        <w:tc>
          <w:tcPr>
            <w:tcW w:w="78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534C49" w:rsidRDefault="00534C49">
            <w:pPr>
              <w:widowControl w:val="0"/>
              <w:tabs>
                <w:tab w:val="left" w:pos="900"/>
                <w:tab w:val="left" w:pos="6360"/>
              </w:tabs>
              <w:spacing w:line="294" w:lineRule="exact"/>
              <w:rPr>
                <w:rFonts w:ascii="Times New Roman" w:hAnsi="Times New Roman" w:cs="Times New Roman"/>
                <w:b/>
                <w:bCs/>
                <w:sz w:val="24"/>
                <w:szCs w:val="24"/>
              </w:rPr>
            </w:pPr>
          </w:p>
        </w:tc>
      </w:tr>
    </w:tbl>
    <w:p w:rsidR="00534C49" w:rsidRDefault="00534C49"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154E81">
        <w:rPr>
          <w:rFonts w:ascii="Times New Roman" w:hAnsi="Times New Roman" w:cs="Times New Roman"/>
          <w:b/>
          <w:bCs/>
          <w:color w:val="264D74"/>
          <w:sz w:val="24"/>
          <w:szCs w:val="24"/>
        </w:rPr>
        <w:t>PRC-023</w:t>
      </w:r>
      <w:r>
        <w:rPr>
          <w:rFonts w:ascii="Times New Roman" w:hAnsi="Times New Roman" w:cs="Times New Roman"/>
          <w:b/>
          <w:bCs/>
          <w:color w:val="264D74"/>
          <w:sz w:val="24"/>
          <w:szCs w:val="24"/>
        </w:rPr>
        <w:t>-</w:t>
      </w:r>
      <w:r w:rsidRPr="009C039C">
        <w:rPr>
          <w:rFonts w:ascii="Times New Roman" w:hAnsi="Times New Roman" w:cs="Times New Roman"/>
          <w:b/>
          <w:bCs/>
          <w:color w:val="264D74"/>
          <w:sz w:val="24"/>
          <w:szCs w:val="24"/>
        </w:rPr>
        <w:t>1 R</w:t>
      </w:r>
      <w:r>
        <w:rPr>
          <w:rFonts w:ascii="Times New Roman" w:hAnsi="Times New Roman" w:cs="Times New Roman"/>
          <w:b/>
          <w:bCs/>
          <w:color w:val="264D74"/>
          <w:sz w:val="24"/>
          <w:szCs w:val="24"/>
        </w:rPr>
        <w:t>3</w:t>
      </w:r>
      <w:r w:rsidRPr="009C039C">
        <w:rPr>
          <w:rFonts w:ascii="Times New Roman" w:hAnsi="Times New Roman" w:cs="Times New Roman"/>
          <w:b/>
          <w:bCs/>
          <w:color w:val="264D74"/>
          <w:sz w:val="24"/>
          <w:szCs w:val="24"/>
        </w:rPr>
        <w:t>.</w:t>
      </w:r>
    </w:p>
    <w:p w:rsidR="008C5E4C" w:rsidRDefault="008C5E4C" w:rsidP="008C5E4C">
      <w:pPr>
        <w:widowControl w:val="0"/>
        <w:spacing w:line="294" w:lineRule="exact"/>
        <w:rPr>
          <w:rFonts w:ascii="Times New Roman" w:hAnsi="Times New Roman" w:cs="Times New Roman"/>
          <w:b/>
          <w:bCs/>
          <w:color w:val="003366"/>
          <w:sz w:val="24"/>
          <w:szCs w:val="24"/>
        </w:rPr>
      </w:pPr>
    </w:p>
    <w:p w:rsidR="008C5E4C" w:rsidRDefault="008C5E4C" w:rsidP="00D37D96">
      <w:pPr>
        <w:widowControl w:val="0"/>
        <w:tabs>
          <w:tab w:val="left" w:pos="1080"/>
        </w:tabs>
        <w:spacing w:line="284" w:lineRule="exact"/>
        <w:ind w:left="1080" w:hanging="108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A74C27">
        <w:rPr>
          <w:rFonts w:ascii="Times New Roman" w:hAnsi="Times New Roman" w:cs="Times New Roman"/>
          <w:bCs/>
          <w:color w:val="365F91"/>
          <w:sz w:val="24"/>
          <w:szCs w:val="24"/>
        </w:rPr>
        <w:t>___</w:t>
      </w:r>
      <w:r w:rsidR="00706BC7">
        <w:rPr>
          <w:rFonts w:ascii="Times New Roman" w:hAnsi="Times New Roman" w:cs="Times New Roman"/>
          <w:color w:val="365F91"/>
          <w:sz w:val="24"/>
          <w:szCs w:val="24"/>
        </w:rPr>
        <w:t>Verify that the PC determined which of the facilities in its area are critical to the reliability of the</w:t>
      </w:r>
      <w:r w:rsidR="00D37D96">
        <w:rPr>
          <w:rFonts w:ascii="Times New Roman" w:hAnsi="Times New Roman" w:cs="Times New Roman"/>
          <w:color w:val="365F91"/>
          <w:sz w:val="24"/>
          <w:szCs w:val="24"/>
        </w:rPr>
        <w:t xml:space="preserve"> BES</w:t>
      </w:r>
      <w:r w:rsidR="00706BC7">
        <w:rPr>
          <w:rFonts w:ascii="Times New Roman" w:hAnsi="Times New Roman" w:cs="Times New Roman"/>
          <w:color w:val="365F91"/>
          <w:sz w:val="24"/>
          <w:szCs w:val="24"/>
        </w:rPr>
        <w:t xml:space="preserve"> </w:t>
      </w:r>
      <w:r w:rsidR="00D37D96">
        <w:rPr>
          <w:rFonts w:ascii="Times New Roman" w:hAnsi="Times New Roman" w:cs="Times New Roman"/>
          <w:color w:val="365F91"/>
          <w:sz w:val="24"/>
          <w:szCs w:val="24"/>
        </w:rPr>
        <w:t>t</w:t>
      </w:r>
      <w:r w:rsidR="00706BC7">
        <w:rPr>
          <w:rFonts w:ascii="Times New Roman" w:hAnsi="Times New Roman" w:cs="Times New Roman"/>
          <w:color w:val="365F91"/>
          <w:sz w:val="24"/>
          <w:szCs w:val="24"/>
        </w:rPr>
        <w:t>o identify the facilities from 100kV to 200kV that meet R1</w:t>
      </w:r>
      <w:r w:rsidR="00D37D96">
        <w:rPr>
          <w:rFonts w:ascii="Times New Roman" w:hAnsi="Times New Roman" w:cs="Times New Roman"/>
          <w:color w:val="365F91"/>
          <w:sz w:val="24"/>
          <w:szCs w:val="24"/>
        </w:rPr>
        <w:t>,</w:t>
      </w:r>
      <w:r w:rsidR="00383989">
        <w:rPr>
          <w:rFonts w:ascii="Times New Roman" w:hAnsi="Times New Roman" w:cs="Times New Roman"/>
          <w:color w:val="365F91"/>
          <w:sz w:val="24"/>
          <w:szCs w:val="24"/>
        </w:rPr>
        <w:t xml:space="preserve"> to prevent the potential cascade tripping that may occur when protective relay settings limit transmission loadability.</w:t>
      </w:r>
    </w:p>
    <w:p w:rsidR="008C5E4C" w:rsidRDefault="008C5E4C" w:rsidP="008C5E4C">
      <w:pPr>
        <w:widowControl w:val="0"/>
        <w:tabs>
          <w:tab w:val="left" w:pos="1080"/>
        </w:tabs>
        <w:spacing w:line="284" w:lineRule="exact"/>
        <w:ind w:left="1620" w:hanging="1620"/>
        <w:rPr>
          <w:rFonts w:ascii="Times New Roman" w:hAnsi="Times New Roman" w:cs="Times New Roman"/>
          <w:color w:val="365F91"/>
          <w:sz w:val="24"/>
          <w:szCs w:val="24"/>
        </w:rPr>
      </w:pPr>
    </w:p>
    <w:p w:rsidR="00706BC7" w:rsidRDefault="00706BC7" w:rsidP="00706BC7">
      <w:pPr>
        <w:widowControl w:val="0"/>
        <w:tabs>
          <w:tab w:val="left" w:pos="1080"/>
        </w:tabs>
        <w:spacing w:line="284" w:lineRule="exact"/>
        <w:ind w:left="1080"/>
        <w:rPr>
          <w:rFonts w:ascii="Times New Roman" w:hAnsi="Times New Roman" w:cs="Times New Roman"/>
          <w:color w:val="365F91"/>
          <w:sz w:val="24"/>
          <w:szCs w:val="24"/>
        </w:rPr>
      </w:pPr>
      <w:r>
        <w:rPr>
          <w:rFonts w:ascii="Times New Roman" w:hAnsi="Times New Roman" w:cs="Times New Roman"/>
          <w:color w:val="365F91"/>
          <w:sz w:val="24"/>
          <w:szCs w:val="24"/>
        </w:rPr>
        <w:t>___Verify that the PC has a process for determination of facilities as described in R3</w:t>
      </w:r>
    </w:p>
    <w:p w:rsidR="00816822" w:rsidRDefault="00816822" w:rsidP="00706BC7">
      <w:pPr>
        <w:widowControl w:val="0"/>
        <w:tabs>
          <w:tab w:val="left" w:pos="1080"/>
        </w:tabs>
        <w:spacing w:line="284" w:lineRule="exact"/>
        <w:ind w:left="1080"/>
        <w:rPr>
          <w:rFonts w:ascii="Times New Roman" w:hAnsi="Times New Roman" w:cs="Times New Roman"/>
          <w:color w:val="365F91"/>
          <w:sz w:val="24"/>
          <w:szCs w:val="24"/>
        </w:rPr>
      </w:pPr>
    </w:p>
    <w:p w:rsidR="00383989" w:rsidRDefault="00383989" w:rsidP="00383989">
      <w:pPr>
        <w:widowControl w:val="0"/>
        <w:tabs>
          <w:tab w:val="left" w:pos="1080"/>
        </w:tabs>
        <w:spacing w:line="284" w:lineRule="exact"/>
        <w:ind w:left="1080" w:firstLine="45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rPr>
        <w:tab/>
        <w:t>___ Verify the process considered the input from adjoining PCs and affected RCs.</w:t>
      </w:r>
    </w:p>
    <w:p w:rsidR="00706BC7" w:rsidRDefault="00706BC7" w:rsidP="00706BC7">
      <w:pPr>
        <w:widowControl w:val="0"/>
        <w:tabs>
          <w:tab w:val="left" w:pos="1080"/>
        </w:tabs>
        <w:spacing w:line="284" w:lineRule="exact"/>
        <w:ind w:left="1080"/>
        <w:rPr>
          <w:rFonts w:ascii="Times New Roman" w:hAnsi="Times New Roman" w:cs="Times New Roman"/>
          <w:color w:val="365F91"/>
          <w:sz w:val="24"/>
          <w:szCs w:val="24"/>
        </w:rPr>
      </w:pPr>
    </w:p>
    <w:p w:rsidR="008C5E4C" w:rsidRDefault="008C5E4C"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 xml:space="preserve">                  </w:t>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 xml:space="preserve">Verify </w:t>
      </w:r>
      <w:r w:rsidR="00706BC7">
        <w:rPr>
          <w:rFonts w:ascii="Times New Roman" w:hAnsi="Times New Roman" w:cs="Times New Roman"/>
          <w:color w:val="365F91"/>
          <w:sz w:val="24"/>
          <w:szCs w:val="24"/>
        </w:rPr>
        <w:t>that the PC has a current list of such facilities</w:t>
      </w:r>
    </w:p>
    <w:p w:rsidR="00706BC7" w:rsidRDefault="00706BC7" w:rsidP="008C5E4C">
      <w:pPr>
        <w:widowControl w:val="0"/>
        <w:tabs>
          <w:tab w:val="left" w:pos="1080"/>
        </w:tabs>
        <w:spacing w:line="284" w:lineRule="exact"/>
        <w:ind w:left="1620" w:hanging="1620"/>
        <w:rPr>
          <w:rFonts w:ascii="Times New Roman" w:hAnsi="Times New Roman" w:cs="Times New Roman"/>
          <w:color w:val="365F91"/>
          <w:sz w:val="24"/>
          <w:szCs w:val="24"/>
        </w:rPr>
      </w:pPr>
    </w:p>
    <w:p w:rsidR="00816822" w:rsidRDefault="00706BC7"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t>___ Verify the PC provided the list to the appropriate RCs, TOPs, GOPs and DPs</w:t>
      </w:r>
      <w:r w:rsidR="00816822">
        <w:rPr>
          <w:rFonts w:ascii="Times New Roman" w:hAnsi="Times New Roman" w:cs="Times New Roman"/>
          <w:color w:val="365F91"/>
          <w:sz w:val="24"/>
          <w:szCs w:val="24"/>
        </w:rPr>
        <w:t xml:space="preserve"> within:</w:t>
      </w:r>
    </w:p>
    <w:p w:rsidR="00816822" w:rsidRDefault="00816822" w:rsidP="008C5E4C">
      <w:pPr>
        <w:widowControl w:val="0"/>
        <w:tabs>
          <w:tab w:val="left" w:pos="1080"/>
        </w:tabs>
        <w:spacing w:line="284" w:lineRule="exact"/>
        <w:ind w:left="1620" w:hanging="1620"/>
        <w:rPr>
          <w:rFonts w:ascii="Times New Roman" w:hAnsi="Times New Roman" w:cs="Times New Roman"/>
          <w:color w:val="365F91"/>
          <w:sz w:val="24"/>
          <w:szCs w:val="24"/>
        </w:rPr>
      </w:pPr>
    </w:p>
    <w:p w:rsidR="00706BC7" w:rsidRDefault="00816822"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30 days of establishment of the list</w:t>
      </w:r>
    </w:p>
    <w:p w:rsidR="00816822" w:rsidRDefault="00816822" w:rsidP="008C5E4C">
      <w:pPr>
        <w:widowControl w:val="0"/>
        <w:tabs>
          <w:tab w:val="left" w:pos="1080"/>
        </w:tabs>
        <w:spacing w:line="284" w:lineRule="exact"/>
        <w:ind w:left="1620" w:hanging="1620"/>
        <w:rPr>
          <w:rFonts w:ascii="Times New Roman" w:hAnsi="Times New Roman" w:cs="Times New Roman"/>
          <w:color w:val="365F91"/>
          <w:sz w:val="24"/>
          <w:szCs w:val="24"/>
        </w:rPr>
      </w:pPr>
    </w:p>
    <w:p w:rsidR="00816822" w:rsidRPr="00816822" w:rsidRDefault="00816822" w:rsidP="008C5E4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r>
        <w:rPr>
          <w:rFonts w:ascii="Times New Roman" w:hAnsi="Times New Roman" w:cs="Times New Roman"/>
          <w:color w:val="365F91"/>
          <w:sz w:val="24"/>
          <w:szCs w:val="24"/>
          <w:u w:val="single"/>
        </w:rPr>
        <w:t xml:space="preserve">        </w:t>
      </w:r>
      <w:r>
        <w:rPr>
          <w:rFonts w:ascii="Times New Roman" w:hAnsi="Times New Roman" w:cs="Times New Roman"/>
          <w:color w:val="365F91"/>
          <w:sz w:val="24"/>
          <w:szCs w:val="24"/>
        </w:rPr>
        <w:t>30 days of changes to the list</w:t>
      </w:r>
    </w:p>
    <w:p w:rsidR="008C5E4C" w:rsidRPr="008C5E4C" w:rsidRDefault="008C5E4C" w:rsidP="00BE1264">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color w:val="365F91"/>
          <w:sz w:val="24"/>
          <w:szCs w:val="24"/>
        </w:rPr>
        <w:tab/>
      </w:r>
    </w:p>
    <w:p w:rsidR="008C5E4C" w:rsidRDefault="008C5E4C"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C46F97" w:rsidRDefault="00C46F97" w:rsidP="00281790">
      <w:pPr>
        <w:widowControl w:val="0"/>
        <w:spacing w:line="294" w:lineRule="exact"/>
        <w:rPr>
          <w:rFonts w:ascii="Times New Roman" w:hAnsi="Times New Roman" w:cs="Times New Roman"/>
          <w:b/>
          <w:bCs/>
          <w:color w:val="003366"/>
          <w:sz w:val="24"/>
          <w:szCs w:val="24"/>
        </w:rPr>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4416B7" w:rsidRDefault="004416B7" w:rsidP="00A74C27">
      <w:pPr>
        <w:pStyle w:val="Heading1"/>
      </w:pPr>
    </w:p>
    <w:p w:rsidR="00A74C27" w:rsidRPr="004416B7" w:rsidRDefault="004416B7" w:rsidP="004416B7">
      <w:pPr>
        <w:pStyle w:val="Heading1"/>
      </w:pPr>
      <w:r w:rsidRPr="004416B7">
        <w:t>S</w:t>
      </w:r>
      <w:r w:rsidR="00A74C27" w:rsidRPr="004416B7">
        <w:t>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EF58FB" w:rsidRPr="00AA1759" w:rsidRDefault="00EF58FB" w:rsidP="00EF58FB">
      <w:pPr>
        <w:spacing w:line="284" w:lineRule="atLeast"/>
        <w:rPr>
          <w:rFonts w:ascii="Times New Roman" w:hAnsi="Times New Roman" w:cs="Times New Roman"/>
          <w:sz w:val="24"/>
          <w:szCs w:val="24"/>
        </w:rPr>
      </w:pPr>
      <w:r w:rsidRPr="00AA1759">
        <w:rPr>
          <w:rStyle w:val="Strong"/>
          <w:rFonts w:ascii="Times New Roman" w:hAnsi="Times New Roman" w:cs="Times New Roman"/>
          <w:sz w:val="24"/>
          <w:szCs w:val="24"/>
        </w:rPr>
        <w:t xml:space="preserve">Other </w:t>
      </w:r>
      <w:r w:rsidRPr="00AA1759">
        <w:rPr>
          <w:rStyle w:val="Strong"/>
          <w:rFonts w:ascii="Times New Roman" w:hAnsi="Times New Roman" w:cs="Times New Roman"/>
          <w:sz w:val="24"/>
          <w:szCs w:val="24"/>
        </w:rPr>
        <w:noBreakHyphen/>
      </w:r>
      <w:r w:rsidRPr="00AA1759">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A1759">
        <w:rPr>
          <w:rStyle w:val="Strong"/>
          <w:rFonts w:ascii="Times New Roman" w:hAnsi="Times New Roman" w:cs="Times New Roman"/>
          <w:b w:val="0"/>
          <w:sz w:val="24"/>
          <w:szCs w:val="24"/>
        </w:rPr>
        <w:t xml:space="preserve">, </w:t>
      </w:r>
      <w:r w:rsidRPr="00AA1759">
        <w:rPr>
          <w:rStyle w:val="Strong"/>
          <w:rFonts w:ascii="Times New Roman" w:hAnsi="Times New Roman" w:cs="Times New Roman"/>
          <w:sz w:val="24"/>
          <w:szCs w:val="24"/>
          <w:u w:val="single"/>
        </w:rPr>
        <w:t>as necessary</w:t>
      </w:r>
      <w:r w:rsidRPr="00AA1759">
        <w:rPr>
          <w:rStyle w:val="Strong"/>
          <w:rFonts w:ascii="Times New Roman" w:hAnsi="Times New Roman" w:cs="Times New Roman"/>
          <w:b w:val="0"/>
          <w:sz w:val="24"/>
          <w:szCs w:val="24"/>
        </w:rPr>
        <w:t xml:space="preserve"> that</w:t>
      </w:r>
      <w:r w:rsidRPr="00AA1759">
        <w:rPr>
          <w:rFonts w:ascii="Times New Roman" w:hAnsi="Times New Roman" w:cs="Times New Roman"/>
          <w:b/>
          <w:sz w:val="24"/>
          <w:szCs w:val="24"/>
        </w:rPr>
        <w:t xml:space="preserve"> </w:t>
      </w:r>
      <w:r w:rsidRPr="00AA1759">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4416B7">
        <w:t>Compliance Findings Summary</w:t>
      </w:r>
      <w:r>
        <w:t xml:space="preserve"> </w:t>
      </w:r>
      <w:r w:rsidRPr="001F77C7">
        <w:rPr>
          <w:sz w:val="20"/>
          <w:szCs w:val="20"/>
        </w:rPr>
        <w:t>(to be filled out by auditor)</w:t>
      </w:r>
    </w:p>
    <w:p w:rsidR="00D83905" w:rsidRPr="00D83905" w:rsidRDefault="00D83905" w:rsidP="00D83905"/>
    <w:tbl>
      <w:tblPr>
        <w:tblW w:w="0" w:type="auto"/>
        <w:tblLook w:val="00A0" w:firstRow="1" w:lastRow="0" w:firstColumn="1" w:lastColumn="0" w:noHBand="0" w:noVBand="0"/>
      </w:tblPr>
      <w:tblGrid>
        <w:gridCol w:w="692"/>
        <w:gridCol w:w="458"/>
        <w:gridCol w:w="572"/>
        <w:gridCol w:w="737"/>
        <w:gridCol w:w="563"/>
        <w:gridCol w:w="7994"/>
      </w:tblGrid>
      <w:tr w:rsidR="00534C49" w:rsidRPr="008374A0" w:rsidTr="00534C49">
        <w:tc>
          <w:tcPr>
            <w:tcW w:w="692" w:type="dxa"/>
            <w:tcBorders>
              <w:top w:val="single" w:sz="4" w:space="0" w:color="548DD4"/>
              <w:bottom w:val="single" w:sz="4" w:space="0" w:color="548DD4"/>
            </w:tcBorders>
          </w:tcPr>
          <w:p w:rsidR="00534C49"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534C49"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534C49"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534C49" w:rsidRPr="008374A0" w:rsidTr="00534C4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534C49" w:rsidRPr="008374A0" w:rsidTr="00534C49">
        <w:tc>
          <w:tcPr>
            <w:tcW w:w="692"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534C49" w:rsidRPr="008374A0" w:rsidTr="00534C49">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534C49" w:rsidRPr="008374A0" w:rsidRDefault="00534C49"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EF58FB" w:rsidRPr="007F4E11" w:rsidRDefault="00EF58FB" w:rsidP="00EF58FB">
      <w:pPr>
        <w:pStyle w:val="Header"/>
        <w:jc w:val="right"/>
        <w:rPr>
          <w:rFonts w:ascii="Times New Roman" w:hAnsi="Times New Roman" w:cs="Times New Roman"/>
          <w:b/>
          <w:sz w:val="24"/>
          <w:szCs w:val="24"/>
        </w:rPr>
      </w:pPr>
      <w:bookmarkStart w:id="1" w:name="RSAW"/>
      <w:bookmarkStart w:id="2" w:name="OLE_LINK1"/>
      <w:bookmarkStart w:id="3" w:name="OLE_LINK2"/>
      <w:bookmarkEnd w:id="1"/>
      <w:r w:rsidRPr="007F4E11">
        <w:rPr>
          <w:rFonts w:ascii="Times New Roman" w:hAnsi="Times New Roman" w:cs="Times New Roman"/>
          <w:b/>
          <w:sz w:val="24"/>
          <w:szCs w:val="24"/>
        </w:rPr>
        <w:t>Excerpts From FERC Orders -- For Reference Purposes Only</w:t>
      </w:r>
    </w:p>
    <w:p w:rsidR="00EF58FB" w:rsidRPr="009845C1" w:rsidRDefault="00EF58FB" w:rsidP="00EF58FB">
      <w:pPr>
        <w:pStyle w:val="Header"/>
        <w:jc w:val="right"/>
        <w:rPr>
          <w:rFonts w:ascii="Times New Roman" w:hAnsi="Times New Roman" w:cs="Times New Roman"/>
          <w:b/>
          <w:sz w:val="24"/>
          <w:szCs w:val="24"/>
        </w:rPr>
      </w:pPr>
      <w:r w:rsidRPr="007F4E11">
        <w:rPr>
          <w:rFonts w:ascii="Times New Roman" w:hAnsi="Times New Roman" w:cs="Times New Roman"/>
          <w:b/>
          <w:sz w:val="24"/>
          <w:szCs w:val="24"/>
        </w:rPr>
        <w:t xml:space="preserve">Updated Through </w:t>
      </w:r>
      <w:r w:rsidR="007F4E11">
        <w:rPr>
          <w:rFonts w:ascii="Times New Roman" w:hAnsi="Times New Roman" w:cs="Times New Roman"/>
          <w:b/>
          <w:sz w:val="24"/>
          <w:szCs w:val="24"/>
        </w:rPr>
        <w:t>September 1, 2010</w:t>
      </w:r>
    </w:p>
    <w:p w:rsidR="00EF58FB" w:rsidRPr="009845C1" w:rsidRDefault="00EF58FB" w:rsidP="00EF58FB">
      <w:pPr>
        <w:pStyle w:val="Header"/>
        <w:jc w:val="right"/>
        <w:rPr>
          <w:rFonts w:ascii="Times New Roman" w:hAnsi="Times New Roman" w:cs="Times New Roman"/>
          <w:b/>
          <w:sz w:val="24"/>
          <w:szCs w:val="24"/>
        </w:rPr>
      </w:pPr>
      <w:r>
        <w:rPr>
          <w:rFonts w:ascii="Times New Roman" w:hAnsi="Times New Roman" w:cs="Times New Roman"/>
          <w:b/>
          <w:sz w:val="24"/>
          <w:szCs w:val="24"/>
        </w:rPr>
        <w:t>PRC-023</w:t>
      </w:r>
      <w:r w:rsidRPr="009845C1">
        <w:rPr>
          <w:rFonts w:ascii="Times New Roman" w:hAnsi="Times New Roman" w:cs="Times New Roman"/>
          <w:b/>
          <w:sz w:val="24"/>
          <w:szCs w:val="24"/>
        </w:rPr>
        <w:t>-1</w:t>
      </w:r>
    </w:p>
    <w:bookmarkEnd w:id="2"/>
    <w:bookmarkEnd w:id="3"/>
    <w:p w:rsidR="00EF58FB" w:rsidRPr="009845C1" w:rsidRDefault="00EF58FB" w:rsidP="00EF58FB">
      <w:pPr>
        <w:rPr>
          <w:rFonts w:ascii="Times New Roman" w:hAnsi="Times New Roman" w:cs="Times New Roman"/>
          <w:sz w:val="24"/>
          <w:szCs w:val="24"/>
        </w:rPr>
      </w:pPr>
    </w:p>
    <w:p w:rsidR="00EF58FB" w:rsidRPr="009845C1" w:rsidRDefault="00EF58FB" w:rsidP="00EF58FB">
      <w:pPr>
        <w:rPr>
          <w:rFonts w:ascii="Times New Roman" w:hAnsi="Times New Roman" w:cs="Times New Roman"/>
          <w:b/>
          <w:sz w:val="24"/>
          <w:szCs w:val="24"/>
        </w:rPr>
      </w:pPr>
    </w:p>
    <w:p w:rsidR="00E46AF1" w:rsidRPr="009845C1" w:rsidRDefault="00E46AF1" w:rsidP="00EF58FB">
      <w:pPr>
        <w:rPr>
          <w:rFonts w:ascii="Times New Roman" w:hAnsi="Times New Roman" w:cs="Times New Roman"/>
          <w:b/>
          <w:sz w:val="24"/>
          <w:szCs w:val="24"/>
        </w:rPr>
      </w:pPr>
      <w:r>
        <w:rPr>
          <w:rFonts w:ascii="Times New Roman" w:hAnsi="Times New Roman" w:cs="Times New Roman"/>
          <w:b/>
          <w:sz w:val="24"/>
          <w:szCs w:val="24"/>
        </w:rPr>
        <w:t>Order 733March 18, 2010</w:t>
      </w:r>
    </w:p>
    <w:p w:rsidR="00C46F97" w:rsidRDefault="00C46F97" w:rsidP="007F4E11">
      <w:pPr>
        <w:widowControl w:val="0"/>
        <w:spacing w:line="160" w:lineRule="exact"/>
        <w:jc w:val="both"/>
      </w:pPr>
    </w:p>
    <w:p w:rsidR="007F4E11" w:rsidRDefault="007F4E11" w:rsidP="007F4E11">
      <w:pPr>
        <w:pStyle w:val="Default"/>
      </w:pPr>
    </w:p>
    <w:p w:rsidR="007F4E11" w:rsidRPr="007F4E11" w:rsidRDefault="007F4E11" w:rsidP="007F4E11">
      <w:pPr>
        <w:pStyle w:val="Default"/>
      </w:pPr>
      <w:r w:rsidRPr="007F4E11">
        <w:t>15. Pursuant to section 215(d)(2) of the FPA,</w:t>
      </w:r>
      <w:r w:rsidRPr="007F4E11">
        <w:rPr>
          <w:b/>
          <w:bCs/>
        </w:rPr>
        <w:t xml:space="preserve">22 </w:t>
      </w:r>
      <w:r w:rsidRPr="007F4E11">
        <w:t>the Commission approves PRC-023-1 as just, reasonable, not unduly discriminatory or preferential, and in the public interest. The Commission finds that PRC-023-1 is a significant step toward improving the reliability of the Bulk-Power System in North America because it requires load-responsive phase protection relay settings to provide essential facility protection for faults, while allowing the Bulk-Power System to be operated in accordance with established facility ratings.</w:t>
      </w:r>
    </w:p>
    <w:p w:rsidR="007F4E11" w:rsidRPr="007F4E11" w:rsidRDefault="007F4E11" w:rsidP="007F4E11">
      <w:pPr>
        <w:pStyle w:val="Default"/>
      </w:pPr>
    </w:p>
    <w:p w:rsidR="007F4E11" w:rsidRDefault="007F4E11" w:rsidP="007F4E11">
      <w:pPr>
        <w:pStyle w:val="Default"/>
      </w:pPr>
      <w:r w:rsidRPr="007F4E11">
        <w:t xml:space="preserve">16. Also, pursuant to section 215(d)(5) of the FPA, the Commission adopts some of the proposed modifications in the NOPR and thus directs certain modifications to the Reliability Standard. Unless stated otherwise, the Commission directs the ERO to submit these modifications no later than one year from the date of this Final Rule. We will address each proposal and the specific comments received on each proposal in the remainder of this Final Rule. </w:t>
      </w:r>
    </w:p>
    <w:p w:rsidR="0094660B" w:rsidRDefault="0094660B" w:rsidP="0094660B">
      <w:pPr>
        <w:pStyle w:val="Default"/>
      </w:pPr>
    </w:p>
    <w:p w:rsidR="0094660B" w:rsidRPr="0094660B" w:rsidRDefault="0094660B" w:rsidP="0094660B">
      <w:pPr>
        <w:pStyle w:val="Default"/>
      </w:pPr>
      <w:r w:rsidRPr="0094660B">
        <w:t>18. Thus, in some instances, while we provide specific details regarding the Commission’s expectations, we intend by doing so to provide useful guidance to assist in the Reliability Standards development process, not to impede it. As we explained in Order No. 693, we find that this is consistent with statutory language that authorizes the Commission to order the ERO to submit a modification “that addresses a specific matter” if the Commission considers it appropriate to carry out section 215 of the FPA.</w:t>
      </w:r>
      <w:r w:rsidRPr="0094660B">
        <w:rPr>
          <w:b/>
          <w:bCs/>
        </w:rPr>
        <w:t xml:space="preserve">24 </w:t>
      </w:r>
      <w:r w:rsidRPr="0094660B">
        <w:t xml:space="preserve">In this Final Rule, we have considered commenters’ concerns and, where a directive for modification appears to be determinative of the outcome, the Commission provides flexibility by directing the ERO to address the underlying issue through the Reliability </w:t>
      </w:r>
      <w:r>
        <w:t xml:space="preserve"> </w:t>
      </w:r>
      <w:r w:rsidRPr="0094660B">
        <w:t>Consequently, consistent with Order No. 693, we clarify that where the Final Rule identifies a concern and offers a specific approach to address that concern, we will consider an equivalent alternative approach provided that the ERO demonstrates that the alternative will adequately address the Commission’s underlying concern or goal as efficiently and effectively as the Commission’s proposal.</w:t>
      </w:r>
    </w:p>
    <w:p w:rsidR="0094660B" w:rsidRDefault="0094660B" w:rsidP="0094660B">
      <w:pPr>
        <w:pStyle w:val="Default"/>
        <w:rPr>
          <w:sz w:val="26"/>
          <w:szCs w:val="26"/>
        </w:rPr>
      </w:pPr>
    </w:p>
    <w:p w:rsidR="0094660B" w:rsidRPr="007F4E11" w:rsidRDefault="0094660B" w:rsidP="007F4E11">
      <w:pPr>
        <w:pStyle w:val="Default"/>
      </w:pPr>
    </w:p>
    <w:p w:rsidR="007F4E11" w:rsidRPr="007F4E11" w:rsidRDefault="007F4E11" w:rsidP="007F4E11">
      <w:pPr>
        <w:pStyle w:val="Default"/>
      </w:pPr>
    </w:p>
    <w:p w:rsidR="007F4E11" w:rsidRPr="007F4E11" w:rsidRDefault="007F4E11" w:rsidP="007F4E11">
      <w:pPr>
        <w:pStyle w:val="Default"/>
        <w:rPr>
          <w:b/>
        </w:rPr>
      </w:pPr>
      <w:r w:rsidRPr="007F4E11">
        <w:rPr>
          <w:b/>
        </w:rPr>
        <w:t>Order Granting Rehearing for Further Consideration</w:t>
      </w:r>
    </w:p>
    <w:p w:rsidR="007F4E11" w:rsidRPr="007F4E11" w:rsidRDefault="007F4E11" w:rsidP="007F4E11">
      <w:pPr>
        <w:pStyle w:val="Default"/>
        <w:rPr>
          <w:b/>
        </w:rPr>
      </w:pPr>
      <w:r w:rsidRPr="007F4E11">
        <w:rPr>
          <w:b/>
        </w:rPr>
        <w:t xml:space="preserve">May 17, 2010 </w:t>
      </w:r>
    </w:p>
    <w:p w:rsidR="007F4E11" w:rsidRPr="007F4E11" w:rsidRDefault="007F4E11" w:rsidP="007F4E11">
      <w:pPr>
        <w:pStyle w:val="Default"/>
        <w:rPr>
          <w:b/>
        </w:rPr>
      </w:pPr>
    </w:p>
    <w:p w:rsidR="007F4E11" w:rsidRPr="007F4E11" w:rsidRDefault="007F4E11" w:rsidP="007F4E11">
      <w:pPr>
        <w:rPr>
          <w:rFonts w:ascii="Times New Roman" w:hAnsi="Times New Roman" w:cs="Times New Roman"/>
          <w:sz w:val="24"/>
          <w:szCs w:val="24"/>
        </w:rPr>
      </w:pPr>
      <w:r w:rsidRPr="007F4E11">
        <w:rPr>
          <w:rFonts w:ascii="Times New Roman" w:hAnsi="Times New Roman" w:cs="Times New Roman"/>
          <w:sz w:val="24"/>
          <w:szCs w:val="24"/>
        </w:rPr>
        <w:t xml:space="preserve">Rehearing has been timely requested of the Commission's order issued on March 18, 2010, in this proceeding. </w:t>
      </w:r>
      <w:r w:rsidRPr="007F4E11">
        <w:rPr>
          <w:rFonts w:ascii="Times New Roman" w:hAnsi="Times New Roman" w:cs="Times New Roman"/>
          <w:i/>
          <w:iCs/>
          <w:sz w:val="24"/>
          <w:szCs w:val="24"/>
        </w:rPr>
        <w:t>Transmission Relay Loadability Reliability</w:t>
      </w:r>
      <w:r w:rsidRPr="007F4E11">
        <w:rPr>
          <w:rFonts w:ascii="Times New Roman" w:hAnsi="Times New Roman" w:cs="Times New Roman"/>
          <w:sz w:val="24"/>
          <w:szCs w:val="24"/>
        </w:rPr>
        <w:t xml:space="preserve"> </w:t>
      </w:r>
      <w:r w:rsidRPr="007F4E11">
        <w:rPr>
          <w:rFonts w:ascii="Times New Roman" w:hAnsi="Times New Roman" w:cs="Times New Roman"/>
          <w:i/>
          <w:iCs/>
          <w:sz w:val="24"/>
          <w:szCs w:val="24"/>
        </w:rPr>
        <w:t>Standard</w:t>
      </w:r>
      <w:r w:rsidRPr="007F4E11">
        <w:rPr>
          <w:rFonts w:ascii="Times New Roman" w:hAnsi="Times New Roman" w:cs="Times New Roman"/>
          <w:sz w:val="24"/>
          <w:szCs w:val="24"/>
        </w:rPr>
        <w:t xml:space="preserve">, 130 FERC ¶ 61,221 (2010). </w:t>
      </w:r>
    </w:p>
    <w:p w:rsidR="007F4E11" w:rsidRPr="007F4E11" w:rsidRDefault="007F4E11" w:rsidP="007F4E11">
      <w:pPr>
        <w:rPr>
          <w:rFonts w:ascii="Times New Roman" w:hAnsi="Times New Roman" w:cs="Times New Roman"/>
          <w:sz w:val="24"/>
          <w:szCs w:val="24"/>
        </w:rPr>
      </w:pPr>
    </w:p>
    <w:p w:rsidR="00C46F97" w:rsidRDefault="00C46F97" w:rsidP="007F4E11">
      <w:pPr>
        <w:widowControl w:val="0"/>
        <w:tabs>
          <w:tab w:val="left" w:pos="60"/>
        </w:tabs>
        <w:spacing w:line="200" w:lineRule="exact"/>
        <w:jc w:val="both"/>
        <w:rPr>
          <w:color w:val="0000FF"/>
        </w:rPr>
      </w:pPr>
      <w:r>
        <w:tab/>
      </w:r>
    </w:p>
    <w:p w:rsidR="00C46F97" w:rsidRDefault="00C46F97" w:rsidP="007F4E11">
      <w:pPr>
        <w:widowControl w:val="0"/>
        <w:spacing w:line="251" w:lineRule="exact"/>
        <w:jc w:val="both"/>
      </w:pPr>
    </w:p>
    <w:p w:rsidR="00684BB8" w:rsidRDefault="00684BB8" w:rsidP="007F4E11">
      <w:pPr>
        <w:widowControl w:val="0"/>
        <w:spacing w:line="251" w:lineRule="exact"/>
        <w:jc w:val="both"/>
      </w:pPr>
    </w:p>
    <w:p w:rsidR="00C46F97" w:rsidRDefault="00C46F97" w:rsidP="00C46F97">
      <w:pPr>
        <w:widowControl w:val="0"/>
        <w:spacing w:line="40" w:lineRule="exact"/>
        <w:rPr>
          <w:rFonts w:cs="Times New Roman"/>
          <w:sz w:val="24"/>
          <w:szCs w:val="24"/>
        </w:rPr>
      </w:pPr>
    </w:p>
    <w:p w:rsidR="00240514" w:rsidRPr="0009057C" w:rsidRDefault="00C46F97" w:rsidP="00240514">
      <w:pPr>
        <w:rPr>
          <w:rFonts w:ascii="Times New Roman" w:hAnsi="Times New Roman" w:cs="Times New Roman"/>
          <w:b/>
          <w:sz w:val="24"/>
          <w:szCs w:val="24"/>
        </w:rPr>
      </w:pPr>
      <w:r>
        <w:rPr>
          <w:rFonts w:cs="Times New Roman"/>
        </w:rPr>
        <w:tab/>
      </w:r>
      <w:r w:rsidR="00240514">
        <w:rPr>
          <w:rFonts w:ascii="Times New Roman" w:hAnsi="Times New Roman" w:cs="Times New Roman"/>
          <w:b/>
          <w:sz w:val="24"/>
          <w:szCs w:val="24"/>
        </w:rPr>
        <w:t>Revision History</w:t>
      </w:r>
    </w:p>
    <w:p w:rsidR="00240514" w:rsidRDefault="00240514" w:rsidP="0024051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160"/>
        <w:gridCol w:w="5670"/>
      </w:tblGrid>
      <w:tr w:rsidR="00240514" w:rsidRPr="00B2607F" w:rsidTr="00684BB8">
        <w:tc>
          <w:tcPr>
            <w:tcW w:w="1016" w:type="dxa"/>
            <w:shd w:val="pct10" w:color="auto" w:fill="auto"/>
          </w:tcPr>
          <w:p w:rsidR="00240514" w:rsidRPr="00B2607F" w:rsidRDefault="00240514" w:rsidP="00B277DE">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240514" w:rsidRPr="00B2607F" w:rsidRDefault="00240514" w:rsidP="00B277DE">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160" w:type="dxa"/>
            <w:shd w:val="pct10" w:color="auto" w:fill="auto"/>
          </w:tcPr>
          <w:p w:rsidR="00240514" w:rsidRPr="00B2607F" w:rsidRDefault="00240514" w:rsidP="00B277DE">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670" w:type="dxa"/>
            <w:shd w:val="pct10" w:color="auto" w:fill="auto"/>
          </w:tcPr>
          <w:p w:rsidR="00240514" w:rsidRPr="00B2607F" w:rsidRDefault="00240514" w:rsidP="00B277DE">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240514" w:rsidRPr="00B2607F" w:rsidTr="00684BB8">
        <w:tc>
          <w:tcPr>
            <w:tcW w:w="1016" w:type="dxa"/>
          </w:tcPr>
          <w:p w:rsidR="00240514" w:rsidRPr="00B2607F" w:rsidRDefault="00240514" w:rsidP="00B277D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240514" w:rsidRPr="00B2607F" w:rsidRDefault="00240514" w:rsidP="00B277DE">
            <w:pPr>
              <w:rPr>
                <w:rFonts w:ascii="Times New Roman" w:hAnsi="Times New Roman" w:cs="Times New Roman"/>
                <w:sz w:val="24"/>
                <w:szCs w:val="24"/>
              </w:rPr>
            </w:pPr>
            <w:r>
              <w:rPr>
                <w:rFonts w:ascii="Times New Roman" w:hAnsi="Times New Roman" w:cs="Times New Roman"/>
                <w:sz w:val="24"/>
                <w:szCs w:val="24"/>
              </w:rPr>
              <w:t>July 2010</w:t>
            </w:r>
          </w:p>
        </w:tc>
        <w:tc>
          <w:tcPr>
            <w:tcW w:w="2160" w:type="dxa"/>
          </w:tcPr>
          <w:p w:rsidR="00240514" w:rsidRPr="00B2607F" w:rsidRDefault="00240514" w:rsidP="00B277DE">
            <w:pPr>
              <w:rPr>
                <w:rFonts w:ascii="Times New Roman" w:hAnsi="Times New Roman" w:cs="Times New Roman"/>
                <w:sz w:val="24"/>
                <w:szCs w:val="24"/>
              </w:rPr>
            </w:pPr>
            <w:r>
              <w:rPr>
                <w:rFonts w:ascii="Times New Roman" w:hAnsi="Times New Roman" w:cs="Times New Roman"/>
                <w:sz w:val="24"/>
                <w:szCs w:val="24"/>
              </w:rPr>
              <w:t>RSAW W</w:t>
            </w:r>
            <w:r w:rsidR="00684BB8">
              <w:rPr>
                <w:rFonts w:ascii="Times New Roman" w:hAnsi="Times New Roman" w:cs="Times New Roman"/>
                <w:sz w:val="24"/>
                <w:szCs w:val="24"/>
              </w:rPr>
              <w:t xml:space="preserve">orking </w:t>
            </w:r>
            <w:r>
              <w:rPr>
                <w:rFonts w:ascii="Times New Roman" w:hAnsi="Times New Roman" w:cs="Times New Roman"/>
                <w:sz w:val="24"/>
                <w:szCs w:val="24"/>
              </w:rPr>
              <w:t>G</w:t>
            </w:r>
            <w:r w:rsidR="00684BB8">
              <w:rPr>
                <w:rFonts w:ascii="Times New Roman" w:hAnsi="Times New Roman" w:cs="Times New Roman"/>
                <w:sz w:val="24"/>
                <w:szCs w:val="24"/>
              </w:rPr>
              <w:t>roup</w:t>
            </w:r>
          </w:p>
        </w:tc>
        <w:tc>
          <w:tcPr>
            <w:tcW w:w="5670" w:type="dxa"/>
          </w:tcPr>
          <w:p w:rsidR="00240514" w:rsidRPr="00B2607F" w:rsidRDefault="00240514" w:rsidP="00B277DE">
            <w:pPr>
              <w:rPr>
                <w:rFonts w:ascii="Times New Roman" w:hAnsi="Times New Roman" w:cs="Times New Roman"/>
                <w:sz w:val="24"/>
                <w:szCs w:val="24"/>
              </w:rPr>
            </w:pPr>
            <w:r>
              <w:rPr>
                <w:rFonts w:ascii="Times New Roman" w:hAnsi="Times New Roman" w:cs="Times New Roman"/>
                <w:sz w:val="24"/>
                <w:szCs w:val="24"/>
              </w:rPr>
              <w:t>New Document</w:t>
            </w:r>
            <w:r w:rsidR="004416B7">
              <w:rPr>
                <w:rFonts w:ascii="Times New Roman" w:hAnsi="Times New Roman" w:cs="Times New Roman"/>
                <w:sz w:val="24"/>
                <w:szCs w:val="24"/>
              </w:rPr>
              <w:t>.</w:t>
            </w:r>
          </w:p>
        </w:tc>
      </w:tr>
      <w:tr w:rsidR="00684BB8" w:rsidRPr="00B2607F" w:rsidTr="00684BB8">
        <w:tc>
          <w:tcPr>
            <w:tcW w:w="1016" w:type="dxa"/>
          </w:tcPr>
          <w:p w:rsidR="00684BB8" w:rsidRPr="00B2607F" w:rsidRDefault="00684BB8" w:rsidP="008500DB">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684BB8" w:rsidRPr="00B2607F" w:rsidRDefault="00684BB8" w:rsidP="008500DB">
            <w:pPr>
              <w:rPr>
                <w:rFonts w:ascii="Times New Roman" w:hAnsi="Times New Roman" w:cs="Times New Roman"/>
                <w:sz w:val="24"/>
                <w:szCs w:val="24"/>
              </w:rPr>
            </w:pPr>
            <w:r>
              <w:rPr>
                <w:rFonts w:ascii="Times New Roman" w:hAnsi="Times New Roman" w:cs="Times New Roman"/>
                <w:sz w:val="24"/>
                <w:szCs w:val="24"/>
              </w:rPr>
              <w:t>September 2010</w:t>
            </w:r>
          </w:p>
        </w:tc>
        <w:tc>
          <w:tcPr>
            <w:tcW w:w="2160" w:type="dxa"/>
          </w:tcPr>
          <w:p w:rsidR="00684BB8" w:rsidRPr="00B2607F" w:rsidRDefault="00684BB8" w:rsidP="004416B7">
            <w:pP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670" w:type="dxa"/>
          </w:tcPr>
          <w:p w:rsidR="00684BB8" w:rsidRPr="00B2607F" w:rsidRDefault="00684BB8" w:rsidP="008500DB">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240514" w:rsidRPr="00B2607F" w:rsidTr="00684BB8">
        <w:tc>
          <w:tcPr>
            <w:tcW w:w="1016" w:type="dxa"/>
          </w:tcPr>
          <w:p w:rsidR="00240514" w:rsidRPr="00B2607F" w:rsidRDefault="00534C49" w:rsidP="00B277DE">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240514" w:rsidRPr="00B2607F" w:rsidRDefault="00534C49" w:rsidP="00B277DE">
            <w:pPr>
              <w:rPr>
                <w:rFonts w:ascii="Times New Roman" w:hAnsi="Times New Roman" w:cs="Times New Roman"/>
                <w:sz w:val="24"/>
                <w:szCs w:val="24"/>
              </w:rPr>
            </w:pPr>
            <w:r>
              <w:rPr>
                <w:rFonts w:ascii="Times New Roman" w:hAnsi="Times New Roman" w:cs="Times New Roman"/>
                <w:sz w:val="24"/>
                <w:szCs w:val="24"/>
              </w:rPr>
              <w:t>December 2010</w:t>
            </w:r>
          </w:p>
        </w:tc>
        <w:tc>
          <w:tcPr>
            <w:tcW w:w="2160" w:type="dxa"/>
          </w:tcPr>
          <w:p w:rsidR="00240514" w:rsidRPr="00B2607F" w:rsidRDefault="00534C49" w:rsidP="00B277DE">
            <w:pPr>
              <w:rPr>
                <w:rFonts w:ascii="Times New Roman" w:hAnsi="Times New Roman" w:cs="Times New Roman"/>
                <w:sz w:val="24"/>
                <w:szCs w:val="24"/>
              </w:rPr>
            </w:pPr>
            <w:r>
              <w:rPr>
                <w:rFonts w:ascii="Times New Roman" w:hAnsi="Times New Roman" w:cs="Times New Roman"/>
                <w:sz w:val="24"/>
                <w:szCs w:val="24"/>
              </w:rPr>
              <w:t>QRSAW WG</w:t>
            </w:r>
          </w:p>
        </w:tc>
        <w:tc>
          <w:tcPr>
            <w:tcW w:w="5670" w:type="dxa"/>
          </w:tcPr>
          <w:p w:rsidR="00240514" w:rsidRPr="00B2607F" w:rsidRDefault="00534C49" w:rsidP="00B277DE">
            <w:pPr>
              <w:rPr>
                <w:rFonts w:ascii="Times New Roman" w:hAnsi="Times New Roman" w:cs="Times New Roman"/>
                <w:sz w:val="24"/>
                <w:szCs w:val="24"/>
              </w:rPr>
            </w:pPr>
            <w:r>
              <w:rPr>
                <w:rFonts w:ascii="Times New Roman" w:hAnsi="Times New Roman" w:cs="Times New Roman"/>
                <w:sz w:val="24"/>
                <w:szCs w:val="24"/>
              </w:rPr>
              <w:t>Revised Findings Table, modified Supporting Evidence tables, and added Revision History</w:t>
            </w:r>
            <w:r w:rsidR="004416B7">
              <w:rPr>
                <w:rFonts w:ascii="Times New Roman" w:hAnsi="Times New Roman" w:cs="Times New Roman"/>
                <w:sz w:val="24"/>
                <w:szCs w:val="24"/>
              </w:rPr>
              <w:t>.</w:t>
            </w:r>
          </w:p>
        </w:tc>
      </w:tr>
      <w:tr w:rsidR="004416B7" w:rsidTr="004416B7">
        <w:tc>
          <w:tcPr>
            <w:tcW w:w="1016" w:type="dxa"/>
            <w:tcBorders>
              <w:top w:val="single" w:sz="4" w:space="0" w:color="000000"/>
              <w:left w:val="single" w:sz="4" w:space="0" w:color="000000"/>
              <w:bottom w:val="single" w:sz="4" w:space="0" w:color="000000"/>
              <w:right w:val="single" w:sz="4" w:space="0" w:color="000000"/>
            </w:tcBorders>
          </w:tcPr>
          <w:p w:rsidR="004416B7" w:rsidRDefault="004416B7" w:rsidP="00B43A3B">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4416B7" w:rsidRDefault="004416B7" w:rsidP="00B43A3B">
            <w:pPr>
              <w:rPr>
                <w:rFonts w:ascii="Times New Roman" w:hAnsi="Times New Roman" w:cs="Times New Roman"/>
                <w:sz w:val="24"/>
                <w:szCs w:val="24"/>
              </w:rPr>
            </w:pPr>
            <w:r>
              <w:rPr>
                <w:rFonts w:ascii="Times New Roman" w:hAnsi="Times New Roman" w:cs="Times New Roman"/>
                <w:sz w:val="24"/>
                <w:szCs w:val="24"/>
              </w:rPr>
              <w:t>January 2011</w:t>
            </w:r>
          </w:p>
        </w:tc>
        <w:tc>
          <w:tcPr>
            <w:tcW w:w="2160" w:type="dxa"/>
            <w:tcBorders>
              <w:top w:val="single" w:sz="4" w:space="0" w:color="000000"/>
              <w:left w:val="single" w:sz="4" w:space="0" w:color="000000"/>
              <w:bottom w:val="single" w:sz="4" w:space="0" w:color="000000"/>
              <w:right w:val="single" w:sz="4" w:space="0" w:color="000000"/>
            </w:tcBorders>
          </w:tcPr>
          <w:p w:rsidR="004416B7" w:rsidRDefault="004416B7" w:rsidP="00B43A3B">
            <w:pPr>
              <w:rPr>
                <w:rFonts w:ascii="Times New Roman" w:hAnsi="Times New Roman" w:cs="Times New Roman"/>
                <w:sz w:val="24"/>
                <w:szCs w:val="24"/>
              </w:rPr>
            </w:pPr>
            <w:r>
              <w:rPr>
                <w:rFonts w:ascii="Times New Roman" w:hAnsi="Times New Roman" w:cs="Times New Roman"/>
                <w:sz w:val="24"/>
                <w:szCs w:val="24"/>
              </w:rPr>
              <w:t>Craig Struck</w:t>
            </w:r>
          </w:p>
        </w:tc>
        <w:tc>
          <w:tcPr>
            <w:tcW w:w="5670" w:type="dxa"/>
            <w:tcBorders>
              <w:top w:val="single" w:sz="4" w:space="0" w:color="000000"/>
              <w:left w:val="single" w:sz="4" w:space="0" w:color="000000"/>
              <w:bottom w:val="single" w:sz="4" w:space="0" w:color="000000"/>
              <w:right w:val="single" w:sz="4" w:space="0" w:color="000000"/>
            </w:tcBorders>
          </w:tcPr>
          <w:p w:rsidR="004416B7" w:rsidRDefault="004416B7" w:rsidP="00B43A3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240514" w:rsidRPr="00B2607F" w:rsidTr="00684BB8">
        <w:tc>
          <w:tcPr>
            <w:tcW w:w="1016" w:type="dxa"/>
          </w:tcPr>
          <w:p w:rsidR="00240514" w:rsidRPr="00B2607F" w:rsidRDefault="00240514" w:rsidP="00B277DE">
            <w:pPr>
              <w:jc w:val="center"/>
              <w:rPr>
                <w:rFonts w:ascii="Times New Roman" w:hAnsi="Times New Roman" w:cs="Times New Roman"/>
                <w:sz w:val="24"/>
                <w:szCs w:val="24"/>
              </w:rPr>
            </w:pPr>
          </w:p>
        </w:tc>
        <w:tc>
          <w:tcPr>
            <w:tcW w:w="1882" w:type="dxa"/>
          </w:tcPr>
          <w:p w:rsidR="00240514" w:rsidRPr="00B2607F" w:rsidRDefault="00240514" w:rsidP="00B277DE">
            <w:pPr>
              <w:rPr>
                <w:rFonts w:ascii="Times New Roman" w:hAnsi="Times New Roman" w:cs="Times New Roman"/>
                <w:sz w:val="24"/>
                <w:szCs w:val="24"/>
              </w:rPr>
            </w:pPr>
          </w:p>
        </w:tc>
        <w:tc>
          <w:tcPr>
            <w:tcW w:w="2160" w:type="dxa"/>
          </w:tcPr>
          <w:p w:rsidR="00240514" w:rsidRPr="00B2607F" w:rsidRDefault="00240514" w:rsidP="00B277DE">
            <w:pPr>
              <w:rPr>
                <w:rFonts w:ascii="Times New Roman" w:hAnsi="Times New Roman" w:cs="Times New Roman"/>
                <w:sz w:val="24"/>
                <w:szCs w:val="24"/>
              </w:rPr>
            </w:pPr>
          </w:p>
        </w:tc>
        <w:tc>
          <w:tcPr>
            <w:tcW w:w="5670" w:type="dxa"/>
          </w:tcPr>
          <w:p w:rsidR="00240514" w:rsidRPr="00B2607F" w:rsidRDefault="00240514" w:rsidP="00B277DE">
            <w:pPr>
              <w:rPr>
                <w:rFonts w:ascii="Times New Roman" w:hAnsi="Times New Roman" w:cs="Times New Roman"/>
                <w:sz w:val="24"/>
                <w:szCs w:val="24"/>
              </w:rPr>
            </w:pPr>
          </w:p>
        </w:tc>
      </w:tr>
      <w:tr w:rsidR="00240514" w:rsidRPr="00B2607F" w:rsidTr="00684BB8">
        <w:tc>
          <w:tcPr>
            <w:tcW w:w="1016" w:type="dxa"/>
          </w:tcPr>
          <w:p w:rsidR="00240514" w:rsidRPr="00B2607F" w:rsidRDefault="00240514" w:rsidP="00B277DE">
            <w:pPr>
              <w:jc w:val="center"/>
              <w:rPr>
                <w:rFonts w:ascii="Times New Roman" w:hAnsi="Times New Roman" w:cs="Times New Roman"/>
                <w:sz w:val="24"/>
                <w:szCs w:val="24"/>
              </w:rPr>
            </w:pPr>
          </w:p>
        </w:tc>
        <w:tc>
          <w:tcPr>
            <w:tcW w:w="1882" w:type="dxa"/>
          </w:tcPr>
          <w:p w:rsidR="00240514" w:rsidRPr="00B2607F" w:rsidRDefault="00240514" w:rsidP="00B277DE">
            <w:pPr>
              <w:rPr>
                <w:rFonts w:ascii="Times New Roman" w:hAnsi="Times New Roman" w:cs="Times New Roman"/>
                <w:sz w:val="24"/>
                <w:szCs w:val="24"/>
              </w:rPr>
            </w:pPr>
          </w:p>
        </w:tc>
        <w:tc>
          <w:tcPr>
            <w:tcW w:w="2160" w:type="dxa"/>
          </w:tcPr>
          <w:p w:rsidR="00240514" w:rsidRPr="00B2607F" w:rsidRDefault="00240514" w:rsidP="00B277DE">
            <w:pPr>
              <w:rPr>
                <w:rFonts w:ascii="Times New Roman" w:hAnsi="Times New Roman" w:cs="Times New Roman"/>
                <w:sz w:val="24"/>
                <w:szCs w:val="24"/>
              </w:rPr>
            </w:pPr>
          </w:p>
        </w:tc>
        <w:tc>
          <w:tcPr>
            <w:tcW w:w="5670" w:type="dxa"/>
          </w:tcPr>
          <w:p w:rsidR="00240514" w:rsidRPr="00B2607F" w:rsidRDefault="00240514" w:rsidP="00B277DE">
            <w:pPr>
              <w:rPr>
                <w:rFonts w:ascii="Times New Roman" w:hAnsi="Times New Roman" w:cs="Times New Roman"/>
                <w:sz w:val="24"/>
                <w:szCs w:val="24"/>
              </w:rPr>
            </w:pPr>
          </w:p>
        </w:tc>
      </w:tr>
      <w:tr w:rsidR="00240514" w:rsidRPr="00B2607F" w:rsidTr="00684BB8">
        <w:tc>
          <w:tcPr>
            <w:tcW w:w="1016" w:type="dxa"/>
          </w:tcPr>
          <w:p w:rsidR="00240514" w:rsidRPr="00B2607F" w:rsidRDefault="00240514" w:rsidP="00B277DE">
            <w:pPr>
              <w:jc w:val="center"/>
              <w:rPr>
                <w:rFonts w:ascii="Times New Roman" w:hAnsi="Times New Roman" w:cs="Times New Roman"/>
                <w:sz w:val="24"/>
                <w:szCs w:val="24"/>
              </w:rPr>
            </w:pPr>
          </w:p>
        </w:tc>
        <w:tc>
          <w:tcPr>
            <w:tcW w:w="1882" w:type="dxa"/>
          </w:tcPr>
          <w:p w:rsidR="00240514" w:rsidRPr="00B2607F" w:rsidRDefault="00240514" w:rsidP="00B277DE">
            <w:pPr>
              <w:rPr>
                <w:rFonts w:ascii="Times New Roman" w:hAnsi="Times New Roman" w:cs="Times New Roman"/>
                <w:sz w:val="24"/>
                <w:szCs w:val="24"/>
              </w:rPr>
            </w:pPr>
          </w:p>
        </w:tc>
        <w:tc>
          <w:tcPr>
            <w:tcW w:w="2160" w:type="dxa"/>
          </w:tcPr>
          <w:p w:rsidR="00240514" w:rsidRPr="00B2607F" w:rsidRDefault="00240514" w:rsidP="00B277DE">
            <w:pPr>
              <w:rPr>
                <w:rFonts w:ascii="Times New Roman" w:hAnsi="Times New Roman" w:cs="Times New Roman"/>
                <w:sz w:val="24"/>
                <w:szCs w:val="24"/>
              </w:rPr>
            </w:pPr>
          </w:p>
        </w:tc>
        <w:tc>
          <w:tcPr>
            <w:tcW w:w="5670" w:type="dxa"/>
          </w:tcPr>
          <w:p w:rsidR="00240514" w:rsidRPr="00B2607F" w:rsidRDefault="00240514" w:rsidP="00B277DE">
            <w:pPr>
              <w:rPr>
                <w:rFonts w:ascii="Times New Roman" w:hAnsi="Times New Roman" w:cs="Times New Roman"/>
                <w:sz w:val="24"/>
                <w:szCs w:val="24"/>
              </w:rPr>
            </w:pPr>
          </w:p>
        </w:tc>
      </w:tr>
    </w:tbl>
    <w:p w:rsidR="00240514" w:rsidRPr="004550E5" w:rsidRDefault="00240514" w:rsidP="00240514">
      <w:pPr>
        <w:widowControl w:val="0"/>
        <w:spacing w:line="244" w:lineRule="exact"/>
        <w:rPr>
          <w:rFonts w:ascii="Times New Roman" w:hAnsi="Times New Roman" w:cs="Times New Roman"/>
          <w:sz w:val="24"/>
          <w:szCs w:val="24"/>
        </w:rPr>
      </w:pPr>
    </w:p>
    <w:p w:rsidR="00240514" w:rsidRPr="004550E5" w:rsidRDefault="00240514" w:rsidP="00240514">
      <w:pPr>
        <w:pStyle w:val="Header"/>
        <w:jc w:val="right"/>
        <w:rPr>
          <w:rFonts w:ascii="Times New Roman" w:hAnsi="Times New Roman" w:cs="Times New Roman"/>
          <w:sz w:val="24"/>
          <w:szCs w:val="24"/>
        </w:rPr>
      </w:pPr>
    </w:p>
    <w:p w:rsidR="00C46F97" w:rsidRDefault="00C46F97" w:rsidP="00154E81">
      <w:pPr>
        <w:widowControl w:val="0"/>
        <w:tabs>
          <w:tab w:val="left" w:pos="60"/>
        </w:tabs>
        <w:spacing w:line="200" w:lineRule="exact"/>
        <w:rPr>
          <w:rFonts w:cs="Times New Roman"/>
          <w:sz w:val="24"/>
          <w:szCs w:val="24"/>
        </w:rPr>
      </w:pPr>
    </w:p>
    <w:sectPr w:rsidR="00C46F97" w:rsidSect="009A1984">
      <w:headerReference w:type="even" r:id="rId14"/>
      <w:headerReference w:type="default" r:id="rId15"/>
      <w:footerReference w:type="even" r:id="rId16"/>
      <w:footerReference w:type="default" r:id="rId17"/>
      <w:headerReference w:type="first" r:id="rId18"/>
      <w:footerReference w:type="first" r:id="rId19"/>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47F3" w:rsidRDefault="001E47F3">
      <w:r>
        <w:separator/>
      </w:r>
    </w:p>
  </w:endnote>
  <w:endnote w:type="continuationSeparator" w:id="0">
    <w:p w:rsidR="001E47F3" w:rsidRDefault="001E4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2D8" w:rsidRDefault="00F022D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1F7" w:rsidRPr="00323003" w:rsidRDefault="003401F7"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3401F7" w:rsidRPr="00323003" w:rsidRDefault="003401F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3401F7" w:rsidRPr="00323003" w:rsidRDefault="003401F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3401F7" w:rsidRPr="00323003" w:rsidRDefault="003401F7"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3401F7" w:rsidRDefault="003401F7"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3401F7" w:rsidRPr="00872AF8" w:rsidRDefault="003401F7"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PRC-023-1</w:t>
    </w:r>
    <w:r w:rsidRPr="00872AF8">
      <w:rPr>
        <w:rFonts w:ascii="Times New Roman" w:hAnsi="Times New Roman"/>
        <w:sz w:val="18"/>
        <w:szCs w:val="18"/>
      </w:rPr>
      <w:t>_</w:t>
    </w:r>
    <w:r>
      <w:rPr>
        <w:rFonts w:ascii="Times New Roman" w:hAnsi="Times New Roman"/>
        <w:sz w:val="18"/>
        <w:szCs w:val="18"/>
      </w:rPr>
      <w:t>201</w:t>
    </w:r>
    <w:r w:rsidR="00393BC2">
      <w:rPr>
        <w:rFonts w:ascii="Times New Roman" w:hAnsi="Times New Roman"/>
        <w:sz w:val="18"/>
        <w:szCs w:val="18"/>
      </w:rPr>
      <w:t>1</w:t>
    </w:r>
    <w:r w:rsidRPr="00872AF8">
      <w:rPr>
        <w:rFonts w:ascii="Times New Roman" w:hAnsi="Times New Roman"/>
        <w:sz w:val="18"/>
        <w:szCs w:val="18"/>
      </w:rPr>
      <w:t>_v1</w:t>
    </w:r>
  </w:p>
  <w:p w:rsidR="003401F7" w:rsidRPr="00872AF8" w:rsidRDefault="003401F7"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393BC2">
      <w:rPr>
        <w:rFonts w:ascii="Times New Roman" w:hAnsi="Times New Roman" w:cs="Times New Roman"/>
        <w:color w:val="000000"/>
        <w:sz w:val="18"/>
        <w:szCs w:val="18"/>
      </w:rPr>
      <w:t>January 2011</w:t>
    </w:r>
  </w:p>
  <w:p w:rsidR="003401F7" w:rsidRPr="00323003" w:rsidRDefault="003401F7"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F830F4">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2D8" w:rsidRDefault="00F022D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47F3" w:rsidRDefault="001E47F3">
      <w:r>
        <w:separator/>
      </w:r>
    </w:p>
  </w:footnote>
  <w:footnote w:type="continuationSeparator" w:id="0">
    <w:p w:rsidR="001E47F3" w:rsidRDefault="001E4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2D8" w:rsidRDefault="00F022D8">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01F7" w:rsidRDefault="003401F7">
    <w:pPr>
      <w:widowControl w:val="0"/>
      <w:spacing w:line="240" w:lineRule="exact"/>
      <w:rPr>
        <w:rFonts w:cs="Times New Roman"/>
      </w:rPr>
    </w:pPr>
  </w:p>
  <w:p w:rsidR="003401F7" w:rsidRPr="006813F3" w:rsidRDefault="003401F7" w:rsidP="003401F7">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3401F7" w:rsidRPr="006813F3" w:rsidRDefault="00F022D8" w:rsidP="003401F7">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3401F7" w:rsidRDefault="004324B3">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3401F7" w:rsidRDefault="003401F7">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022D8" w:rsidRDefault="00F022D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24FA9"/>
    <w:rsid w:val="00032BC0"/>
    <w:rsid w:val="00033BFA"/>
    <w:rsid w:val="00057A68"/>
    <w:rsid w:val="000A4478"/>
    <w:rsid w:val="000B4B1F"/>
    <w:rsid w:val="000E2855"/>
    <w:rsid w:val="000F0A1C"/>
    <w:rsid w:val="000F4AF6"/>
    <w:rsid w:val="000F4D35"/>
    <w:rsid w:val="000F5E13"/>
    <w:rsid w:val="00100FD6"/>
    <w:rsid w:val="00116F8E"/>
    <w:rsid w:val="001271A2"/>
    <w:rsid w:val="001308E2"/>
    <w:rsid w:val="00141A3B"/>
    <w:rsid w:val="00154E81"/>
    <w:rsid w:val="00192C6D"/>
    <w:rsid w:val="001A60CC"/>
    <w:rsid w:val="001B486D"/>
    <w:rsid w:val="001D467F"/>
    <w:rsid w:val="001E47F3"/>
    <w:rsid w:val="00207A7A"/>
    <w:rsid w:val="00240514"/>
    <w:rsid w:val="002478D9"/>
    <w:rsid w:val="00260B45"/>
    <w:rsid w:val="00281790"/>
    <w:rsid w:val="002A3950"/>
    <w:rsid w:val="002C6986"/>
    <w:rsid w:val="002D694C"/>
    <w:rsid w:val="00323003"/>
    <w:rsid w:val="0032518B"/>
    <w:rsid w:val="003401F7"/>
    <w:rsid w:val="0035604C"/>
    <w:rsid w:val="00357F68"/>
    <w:rsid w:val="0036144D"/>
    <w:rsid w:val="00383989"/>
    <w:rsid w:val="00393BC2"/>
    <w:rsid w:val="00396135"/>
    <w:rsid w:val="003B631E"/>
    <w:rsid w:val="003E0982"/>
    <w:rsid w:val="003E5FE5"/>
    <w:rsid w:val="003E7EDF"/>
    <w:rsid w:val="0040362C"/>
    <w:rsid w:val="00404D27"/>
    <w:rsid w:val="00426E53"/>
    <w:rsid w:val="004324B3"/>
    <w:rsid w:val="004416B7"/>
    <w:rsid w:val="00443293"/>
    <w:rsid w:val="00450B5F"/>
    <w:rsid w:val="004550E5"/>
    <w:rsid w:val="00464DE7"/>
    <w:rsid w:val="00473790"/>
    <w:rsid w:val="00484EF2"/>
    <w:rsid w:val="004A25CF"/>
    <w:rsid w:val="004E0362"/>
    <w:rsid w:val="005136A0"/>
    <w:rsid w:val="00534C49"/>
    <w:rsid w:val="0055246A"/>
    <w:rsid w:val="00565AEF"/>
    <w:rsid w:val="0059110B"/>
    <w:rsid w:val="005916FC"/>
    <w:rsid w:val="005934DC"/>
    <w:rsid w:val="005D1D5C"/>
    <w:rsid w:val="005D58A1"/>
    <w:rsid w:val="006010AC"/>
    <w:rsid w:val="00607435"/>
    <w:rsid w:val="00613FA3"/>
    <w:rsid w:val="00647DE9"/>
    <w:rsid w:val="00656ADB"/>
    <w:rsid w:val="00675E27"/>
    <w:rsid w:val="00684BB8"/>
    <w:rsid w:val="00684DDA"/>
    <w:rsid w:val="006E1CC0"/>
    <w:rsid w:val="006E553A"/>
    <w:rsid w:val="00706BC7"/>
    <w:rsid w:val="0071094E"/>
    <w:rsid w:val="00744AC2"/>
    <w:rsid w:val="00756289"/>
    <w:rsid w:val="007A0E0C"/>
    <w:rsid w:val="007B45C5"/>
    <w:rsid w:val="007C44D6"/>
    <w:rsid w:val="007C659D"/>
    <w:rsid w:val="007F4E11"/>
    <w:rsid w:val="00816822"/>
    <w:rsid w:val="00822727"/>
    <w:rsid w:val="00832FF7"/>
    <w:rsid w:val="008500DB"/>
    <w:rsid w:val="008539DC"/>
    <w:rsid w:val="00853A30"/>
    <w:rsid w:val="00861282"/>
    <w:rsid w:val="00894768"/>
    <w:rsid w:val="00894CCA"/>
    <w:rsid w:val="008C5E4C"/>
    <w:rsid w:val="008F2767"/>
    <w:rsid w:val="00917067"/>
    <w:rsid w:val="00937B5C"/>
    <w:rsid w:val="0094660B"/>
    <w:rsid w:val="00952818"/>
    <w:rsid w:val="009A1984"/>
    <w:rsid w:val="009C039C"/>
    <w:rsid w:val="009C4318"/>
    <w:rsid w:val="009C4340"/>
    <w:rsid w:val="009D1DE7"/>
    <w:rsid w:val="009D3D62"/>
    <w:rsid w:val="00A10643"/>
    <w:rsid w:val="00A40A99"/>
    <w:rsid w:val="00A66228"/>
    <w:rsid w:val="00A73002"/>
    <w:rsid w:val="00A74C27"/>
    <w:rsid w:val="00A86374"/>
    <w:rsid w:val="00AA1AA8"/>
    <w:rsid w:val="00AD5422"/>
    <w:rsid w:val="00B06DE8"/>
    <w:rsid w:val="00B258AF"/>
    <w:rsid w:val="00B277DE"/>
    <w:rsid w:val="00B435EE"/>
    <w:rsid w:val="00B43A3B"/>
    <w:rsid w:val="00B608A3"/>
    <w:rsid w:val="00BB611C"/>
    <w:rsid w:val="00BE1264"/>
    <w:rsid w:val="00BE2A33"/>
    <w:rsid w:val="00BF207D"/>
    <w:rsid w:val="00BF3B49"/>
    <w:rsid w:val="00C060E7"/>
    <w:rsid w:val="00C11EDD"/>
    <w:rsid w:val="00C23A94"/>
    <w:rsid w:val="00C46F97"/>
    <w:rsid w:val="00C568DC"/>
    <w:rsid w:val="00CC452E"/>
    <w:rsid w:val="00CD08F5"/>
    <w:rsid w:val="00CF5895"/>
    <w:rsid w:val="00D30CA2"/>
    <w:rsid w:val="00D33732"/>
    <w:rsid w:val="00D37D96"/>
    <w:rsid w:val="00D45934"/>
    <w:rsid w:val="00D54754"/>
    <w:rsid w:val="00D5513A"/>
    <w:rsid w:val="00D830A2"/>
    <w:rsid w:val="00D83905"/>
    <w:rsid w:val="00D96C51"/>
    <w:rsid w:val="00DA44A1"/>
    <w:rsid w:val="00DB1295"/>
    <w:rsid w:val="00DE3654"/>
    <w:rsid w:val="00E0105E"/>
    <w:rsid w:val="00E46AF1"/>
    <w:rsid w:val="00E57E67"/>
    <w:rsid w:val="00E679D3"/>
    <w:rsid w:val="00E8453A"/>
    <w:rsid w:val="00E93387"/>
    <w:rsid w:val="00EB2DD5"/>
    <w:rsid w:val="00EC1F61"/>
    <w:rsid w:val="00ED0E7C"/>
    <w:rsid w:val="00EE621B"/>
    <w:rsid w:val="00EF58FB"/>
    <w:rsid w:val="00F009F3"/>
    <w:rsid w:val="00F022D8"/>
    <w:rsid w:val="00F55AC9"/>
    <w:rsid w:val="00F7559B"/>
    <w:rsid w:val="00F830F4"/>
    <w:rsid w:val="00FA1399"/>
    <w:rsid w:val="00FB121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A785D2ED-50B1-47E3-9406-9C170A16A1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styleId="Heading2">
    <w:name w:val="heading 2"/>
    <w:basedOn w:val="Normal"/>
    <w:next w:val="Normal"/>
    <w:link w:val="Heading2Char"/>
    <w:uiPriority w:val="9"/>
    <w:unhideWhenUsed/>
    <w:qFormat/>
    <w:rsid w:val="002D694C"/>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Heading3Char"/>
    <w:uiPriority w:val="9"/>
    <w:unhideWhenUsed/>
    <w:qFormat/>
    <w:rsid w:val="002D694C"/>
    <w:pPr>
      <w:keepNext/>
      <w:spacing w:before="240" w:after="60"/>
      <w:outlineLvl w:val="2"/>
    </w:pPr>
    <w:rPr>
      <w:rFonts w:ascii="Cambria" w:hAnsi="Cambria" w:cs="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paragraph" w:customStyle="1" w:styleId="Default">
    <w:name w:val="Default"/>
    <w:rsid w:val="001271A2"/>
    <w:pPr>
      <w:autoSpaceDE w:val="0"/>
      <w:autoSpaceDN w:val="0"/>
      <w:adjustRightInd w:val="0"/>
    </w:pPr>
    <w:rPr>
      <w:color w:val="000000"/>
      <w:sz w:val="24"/>
      <w:szCs w:val="24"/>
    </w:rPr>
  </w:style>
  <w:style w:type="character" w:styleId="Strong">
    <w:name w:val="Strong"/>
    <w:uiPriority w:val="22"/>
    <w:qFormat/>
    <w:rsid w:val="00EF58FB"/>
    <w:rPr>
      <w:b/>
      <w:bCs/>
    </w:rPr>
  </w:style>
  <w:style w:type="character" w:styleId="FootnoteReference">
    <w:name w:val="footnote reference"/>
    <w:semiHidden/>
    <w:rsid w:val="002D694C"/>
  </w:style>
  <w:style w:type="character" w:customStyle="1" w:styleId="Heading2Char">
    <w:name w:val="Heading 2 Char"/>
    <w:link w:val="Heading2"/>
    <w:uiPriority w:val="9"/>
    <w:rsid w:val="002D694C"/>
    <w:rPr>
      <w:rFonts w:ascii="Cambria" w:eastAsia="Times New Roman" w:hAnsi="Cambria" w:cs="Times New Roman"/>
      <w:b/>
      <w:bCs/>
      <w:i/>
      <w:iCs/>
      <w:sz w:val="28"/>
      <w:szCs w:val="28"/>
    </w:rPr>
  </w:style>
  <w:style w:type="character" w:customStyle="1" w:styleId="Heading3Char">
    <w:name w:val="Heading 3 Char"/>
    <w:link w:val="Heading3"/>
    <w:uiPriority w:val="9"/>
    <w:rsid w:val="002D694C"/>
    <w:rPr>
      <w:rFonts w:ascii="Cambria" w:eastAsia="Times New Roman" w:hAnsi="Cambria" w:cs="Times New Roman"/>
      <w:b/>
      <w:bCs/>
      <w:sz w:val="26"/>
      <w:szCs w:val="26"/>
    </w:rPr>
  </w:style>
  <w:style w:type="paragraph" w:styleId="Closing">
    <w:name w:val="Closing"/>
    <w:basedOn w:val="Normal"/>
    <w:link w:val="ClosingChar"/>
    <w:uiPriority w:val="99"/>
    <w:unhideWhenUsed/>
    <w:rsid w:val="002D694C"/>
    <w:pPr>
      <w:ind w:left="4320"/>
    </w:pPr>
  </w:style>
  <w:style w:type="character" w:customStyle="1" w:styleId="ClosingChar">
    <w:name w:val="Closing Char"/>
    <w:link w:val="Closing"/>
    <w:uiPriority w:val="99"/>
    <w:rsid w:val="002D694C"/>
    <w:rPr>
      <w:rFonts w:ascii="Arial" w:hAnsi="Arial" w:cs="Arial"/>
    </w:rPr>
  </w:style>
  <w:style w:type="paragraph" w:styleId="Title">
    <w:name w:val="Title"/>
    <w:basedOn w:val="Normal"/>
    <w:next w:val="Normal"/>
    <w:link w:val="TitleChar"/>
    <w:uiPriority w:val="10"/>
    <w:qFormat/>
    <w:rsid w:val="002D694C"/>
    <w:pPr>
      <w:spacing w:before="240" w:after="60"/>
      <w:jc w:val="center"/>
      <w:outlineLvl w:val="0"/>
    </w:pPr>
    <w:rPr>
      <w:rFonts w:ascii="Cambria" w:hAnsi="Cambria" w:cs="Times New Roman"/>
      <w:b/>
      <w:bCs/>
      <w:kern w:val="28"/>
      <w:sz w:val="32"/>
      <w:szCs w:val="32"/>
    </w:rPr>
  </w:style>
  <w:style w:type="character" w:customStyle="1" w:styleId="TitleChar">
    <w:name w:val="Title Char"/>
    <w:link w:val="Title"/>
    <w:uiPriority w:val="10"/>
    <w:rsid w:val="002D694C"/>
    <w:rPr>
      <w:rFonts w:ascii="Cambria" w:eastAsia="Times New Roman" w:hAnsi="Cambria" w:cs="Times New Roman"/>
      <w:b/>
      <w:bCs/>
      <w:kern w:val="28"/>
      <w:sz w:val="32"/>
      <w:szCs w:val="32"/>
    </w:rPr>
  </w:style>
  <w:style w:type="paragraph" w:styleId="BodyTextIndent">
    <w:name w:val="Body Text Indent"/>
    <w:basedOn w:val="Normal"/>
    <w:link w:val="BodyTextIndentChar"/>
    <w:uiPriority w:val="99"/>
    <w:unhideWhenUsed/>
    <w:rsid w:val="002D694C"/>
    <w:pPr>
      <w:spacing w:after="120"/>
      <w:ind w:left="360"/>
    </w:pPr>
  </w:style>
  <w:style w:type="character" w:customStyle="1" w:styleId="BodyTextIndentChar">
    <w:name w:val="Body Text Indent Char"/>
    <w:link w:val="BodyTextIndent"/>
    <w:uiPriority w:val="99"/>
    <w:rsid w:val="002D694C"/>
    <w:rPr>
      <w:rFonts w:ascii="Arial" w:hAnsi="Arial" w:cs="Arial"/>
    </w:rPr>
  </w:style>
  <w:style w:type="paragraph" w:styleId="Subtitle">
    <w:name w:val="Subtitle"/>
    <w:basedOn w:val="Normal"/>
    <w:next w:val="Normal"/>
    <w:link w:val="SubtitleChar"/>
    <w:uiPriority w:val="11"/>
    <w:qFormat/>
    <w:rsid w:val="002D694C"/>
    <w:pPr>
      <w:spacing w:after="60"/>
      <w:jc w:val="center"/>
      <w:outlineLvl w:val="1"/>
    </w:pPr>
    <w:rPr>
      <w:rFonts w:ascii="Cambria" w:hAnsi="Cambria" w:cs="Times New Roman"/>
      <w:sz w:val="24"/>
      <w:szCs w:val="24"/>
    </w:rPr>
  </w:style>
  <w:style w:type="character" w:customStyle="1" w:styleId="SubtitleChar">
    <w:name w:val="Subtitle Char"/>
    <w:link w:val="Subtitle"/>
    <w:uiPriority w:val="11"/>
    <w:rsid w:val="002D694C"/>
    <w:rPr>
      <w:rFonts w:ascii="Cambria" w:eastAsia="Times New Roman" w:hAnsi="Cambria" w:cs="Times New Roman"/>
      <w:sz w:val="24"/>
      <w:szCs w:val="24"/>
    </w:rPr>
  </w:style>
  <w:style w:type="paragraph" w:styleId="BodyTextFirstIndent2">
    <w:name w:val="Body Text First Indent 2"/>
    <w:basedOn w:val="BodyTextIndent"/>
    <w:link w:val="BodyTextFirstIndent2Char"/>
    <w:uiPriority w:val="99"/>
    <w:unhideWhenUsed/>
    <w:rsid w:val="002D694C"/>
    <w:pPr>
      <w:ind w:firstLine="210"/>
    </w:pPr>
  </w:style>
  <w:style w:type="character" w:customStyle="1" w:styleId="BodyTextFirstIndent2Char">
    <w:name w:val="Body Text First Indent 2 Char"/>
    <w:basedOn w:val="BodyTextIndentChar"/>
    <w:link w:val="BodyTextFirstIndent2"/>
    <w:uiPriority w:val="99"/>
    <w:rsid w:val="002D694C"/>
    <w:rPr>
      <w:rFonts w:ascii="Arial" w:hAnsi="Arial" w:cs="Arial"/>
    </w:rPr>
  </w:style>
  <w:style w:type="table" w:styleId="TableGrid">
    <w:name w:val="Table Grid"/>
    <w:basedOn w:val="TableNormal"/>
    <w:uiPriority w:val="59"/>
    <w:rsid w:val="00AA1AA8"/>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29620342">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537474164">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790441124">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156412647">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381324088">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68763235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nerc.com/page.php?cid=2|2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PRC-023-1</Number>
    <Date xmlns="987b8a77-3dc6-4154-9fe1-b1e590735b19">2011-01-25T05:00:00+00:00</Date>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9DC022F-6D8E-4DEF-B1F0-FF92C9120DFD}"/>
</file>

<file path=customXml/itemProps2.xml><?xml version="1.0" encoding="utf-8"?>
<ds:datastoreItem xmlns:ds="http://schemas.openxmlformats.org/officeDocument/2006/customXml" ds:itemID="{E1E6B535-85A9-47D5-A766-D79760EE246D}"/>
</file>

<file path=customXml/itemProps3.xml><?xml version="1.0" encoding="utf-8"?>
<ds:datastoreItem xmlns:ds="http://schemas.openxmlformats.org/officeDocument/2006/customXml" ds:itemID="{7A0940D9-71DE-48AB-BD9E-4A72EA5D6DC6}"/>
</file>

<file path=customXml/itemProps4.xml><?xml version="1.0" encoding="utf-8"?>
<ds:datastoreItem xmlns:ds="http://schemas.openxmlformats.org/officeDocument/2006/customXml" ds:itemID="{5297B8DC-F251-4349-ADFE-A823F967D790}"/>
</file>

<file path=customXml/itemProps5.xml><?xml version="1.0" encoding="utf-8"?>
<ds:datastoreItem xmlns:ds="http://schemas.openxmlformats.org/officeDocument/2006/customXml" ds:itemID="{E450C0D2-C9B4-476E-ADDE-0205EC0E6846}"/>
</file>

<file path=docProps/app.xml><?xml version="1.0" encoding="utf-8"?>
<Properties xmlns="http://schemas.openxmlformats.org/officeDocument/2006/extended-properties" xmlns:vt="http://schemas.openxmlformats.org/officeDocument/2006/docPropsVTypes">
  <Template>Normal</Template>
  <TotalTime>0</TotalTime>
  <Pages>3</Pages>
  <Words>2692</Words>
  <Characters>15348</Characters>
  <Application>Microsoft Office Word</Application>
  <DocSecurity>0</DocSecurity>
  <Lines>127</Lines>
  <Paragraphs>36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Transmission Relay Loadability</vt:lpstr>
      <vt:lpstr/>
      <vt:lpstr>Subject Matter Experts</vt:lpstr>
      <vt:lpstr>Reliability Standard Language</vt:lpstr>
      <vt:lpstr>R1 Supporting Evidence and Documentation</vt:lpstr>
      <vt:lpstr>R2 Supporting Evidence and Documentation</vt:lpstr>
      <vt:lpstr>R3 Supporting Evidence and Documentation</vt:lpstr>
      <vt:lpstr/>
      <vt:lpstr/>
      <vt:lpstr/>
      <vt:lpstr/>
      <vt:lpstr/>
      <vt:lpstr/>
      <vt:lpstr/>
      <vt:lpstr>Supplemental Information</vt:lpstr>
      <vt:lpstr>Compliance Findings Summary (to be filled out by auditor)</vt:lpstr>
    </vt:vector>
  </TitlesOfParts>
  <Company/>
  <LinksUpToDate>false</LinksUpToDate>
  <CharactersWithSpaces>18004</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Relay Loadability</dc:title>
  <dc:subject/>
  <dc:creator>NERC</dc:creator>
  <cp:keywords/>
  <cp:lastModifiedBy>Andrei Lozovik</cp:lastModifiedBy>
  <cp:revision>3</cp:revision>
  <dcterms:created xsi:type="dcterms:W3CDTF">2013-09-25T18:36:00Z</dcterms:created>
  <dcterms:modified xsi:type="dcterms:W3CDTF">2013-10-18T20:11:00Z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NERCASSETID-406-104</vt:lpwstr>
  </property>
  <property fmtid="{D5CDD505-2E9C-101B-9397-08002B2CF9AE}" pid="3" name="_dlc_DocIdItemGuid">
    <vt:lpwstr>0af9d3b3-ea29-4312-8963-07978e766e86</vt:lpwstr>
  </property>
  <property fmtid="{D5CDD505-2E9C-101B-9397-08002B2CF9AE}" pid="4" name="_dlc_DocIdUrl">
    <vt:lpwstr>http://www.nerc.com/pa/comp/_layouts/DocIdRedir.aspx?ID=NERCASSETID-406-104, NERCASSETID-406-104</vt:lpwstr>
  </property>
  <property fmtid="{D5CDD505-2E9C-101B-9397-08002B2CF9AE}" pid="5" name="xd_Signature">
    <vt:lpwstr/>
  </property>
  <property fmtid="{D5CDD505-2E9C-101B-9397-08002B2CF9AE}" pid="6" name="Order">
    <vt:lpwstr>10400.0000000000</vt:lpwstr>
  </property>
  <property fmtid="{D5CDD505-2E9C-101B-9397-08002B2CF9AE}" pid="7" name="TemplateUrl">
    <vt:lpwstr/>
  </property>
  <property fmtid="{D5CDD505-2E9C-101B-9397-08002B2CF9AE}" pid="8" name="xd_ProgID">
    <vt:lpwstr/>
  </property>
  <property fmtid="{D5CDD505-2E9C-101B-9397-08002B2CF9AE}" pid="9" name="_dlc_DocIdPersistId">
    <vt:lpwstr/>
  </property>
  <property fmtid="{D5CDD505-2E9C-101B-9397-08002B2CF9AE}" pid="10" name="_SourceUrl">
    <vt:lpwstr/>
  </property>
  <property fmtid="{D5CDD505-2E9C-101B-9397-08002B2CF9AE}" pid="11" name="_SharedFileIndex">
    <vt:lpwstr/>
  </property>
</Properties>
</file>